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774" w:rsidRPr="00192774" w:rsidRDefault="00192774" w:rsidP="00192774">
      <w:pPr>
        <w:spacing w:line="540" w:lineRule="exact"/>
        <w:rPr>
          <w:rFonts w:ascii="仿宋_GB2312" w:eastAsia="仿宋_GB2312" w:hAnsi="黑体"/>
          <w:sz w:val="32"/>
          <w:szCs w:val="32"/>
        </w:rPr>
      </w:pPr>
      <w:r w:rsidRPr="00192774">
        <w:rPr>
          <w:rFonts w:ascii="仿宋_GB2312" w:eastAsia="仿宋_GB2312" w:hAnsi="黑体" w:hint="eastAsia"/>
          <w:sz w:val="32"/>
          <w:szCs w:val="32"/>
        </w:rPr>
        <w:t>附件：</w:t>
      </w:r>
      <w:r>
        <w:rPr>
          <w:rFonts w:ascii="仿宋_GB2312" w:eastAsia="仿宋_GB2312" w:hAnsi="黑体" w:hint="eastAsia"/>
          <w:sz w:val="32"/>
          <w:szCs w:val="32"/>
        </w:rPr>
        <w:t>2</w:t>
      </w:r>
    </w:p>
    <w:p w:rsidR="00FB0CE1" w:rsidRDefault="008C73E8" w:rsidP="002157CE">
      <w:pPr>
        <w:spacing w:line="54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《杭州市标准化项目资助经费管理办法</w:t>
      </w:r>
      <w:r w:rsidR="002F76A1">
        <w:rPr>
          <w:rFonts w:ascii="方正小标宋简体" w:eastAsia="方正小标宋简体" w:hAnsi="黑体" w:hint="eastAsia"/>
          <w:sz w:val="44"/>
          <w:szCs w:val="44"/>
        </w:rPr>
        <w:t>（征求意见稿）</w:t>
      </w:r>
      <w:r>
        <w:rPr>
          <w:rFonts w:ascii="方正小标宋简体" w:eastAsia="方正小标宋简体" w:hAnsi="黑体" w:hint="eastAsia"/>
          <w:sz w:val="44"/>
          <w:szCs w:val="44"/>
        </w:rPr>
        <w:t>》修订起草说明</w:t>
      </w:r>
    </w:p>
    <w:p w:rsidR="00FB0CE1" w:rsidRDefault="00FB0CE1" w:rsidP="002157CE">
      <w:pPr>
        <w:snapToGrid w:val="0"/>
        <w:spacing w:line="540" w:lineRule="exact"/>
        <w:ind w:firstLine="640"/>
        <w:rPr>
          <w:rFonts w:ascii="仿宋_GB2312" w:eastAsia="仿宋_GB2312" w:hAnsi="宋体"/>
          <w:color w:val="000000"/>
          <w:sz w:val="32"/>
          <w:szCs w:val="32"/>
        </w:rPr>
      </w:pPr>
    </w:p>
    <w:p w:rsidR="00FB0CE1" w:rsidRDefault="008C73E8" w:rsidP="002157CE">
      <w:pPr>
        <w:snapToGrid w:val="0"/>
        <w:spacing w:line="540" w:lineRule="exact"/>
        <w:ind w:firstLine="640"/>
        <w:rPr>
          <w:rFonts w:ascii="仿宋_GB2312" w:eastAsia="仿宋_GB2312" w:hAnsi="宋体"/>
          <w:color w:val="000000"/>
          <w:kern w:val="0"/>
          <w:sz w:val="32"/>
          <w:szCs w:val="32"/>
        </w:rPr>
      </w:pPr>
      <w:r>
        <w:rPr>
          <w:rFonts w:ascii="仿宋_GB2312" w:eastAsia="仿宋_GB2312" w:hAnsi="宋体" w:hint="eastAsia"/>
          <w:color w:val="000000"/>
          <w:sz w:val="32"/>
          <w:szCs w:val="32"/>
        </w:rPr>
        <w:t>《关于印发杭州市标准化项目资助经费管理办法的通知》（杭市管〔2019〕46号）将于2021年12月31日到期；为进一步推进标准化战略，杭州市市场监管局修订起草了</w:t>
      </w:r>
      <w:r>
        <w:rPr>
          <w:rFonts w:ascii="仿宋_GB2312" w:eastAsia="仿宋_GB2312" w:hAnsi="宋体" w:hint="eastAsia"/>
          <w:color w:val="000000"/>
          <w:kern w:val="0"/>
          <w:sz w:val="32"/>
          <w:szCs w:val="32"/>
        </w:rPr>
        <w:t>《杭州市标准化项目资助经费管理办法》（以下简称“《管理办法》”），起草情况说明如下。</w:t>
      </w:r>
    </w:p>
    <w:p w:rsidR="00FB0CE1" w:rsidRDefault="008C73E8" w:rsidP="002157CE">
      <w:pPr>
        <w:pStyle w:val="a5"/>
        <w:numPr>
          <w:ilvl w:val="0"/>
          <w:numId w:val="1"/>
        </w:numPr>
        <w:spacing w:line="540" w:lineRule="exact"/>
        <w:ind w:firstLineChars="0"/>
        <w:jc w:val="left"/>
        <w:rPr>
          <w:rFonts w:ascii="黑体" w:eastAsia="黑体" w:hAnsi="黑体"/>
          <w:sz w:val="32"/>
          <w:szCs w:val="32"/>
        </w:rPr>
      </w:pPr>
      <w:r>
        <w:rPr>
          <w:rFonts w:ascii="黑体" w:eastAsia="黑体" w:hAnsi="黑体" w:hint="eastAsia"/>
          <w:sz w:val="32"/>
          <w:szCs w:val="32"/>
        </w:rPr>
        <w:t>制定的必要性</w:t>
      </w:r>
    </w:p>
    <w:p w:rsidR="00FB0CE1" w:rsidRDefault="008C73E8" w:rsidP="002157CE">
      <w:pPr>
        <w:pStyle w:val="a5"/>
        <w:spacing w:line="540" w:lineRule="exact"/>
        <w:ind w:firstLine="640"/>
        <w:rPr>
          <w:rFonts w:ascii="黑体" w:eastAsia="黑体" w:hAnsi="黑体"/>
          <w:sz w:val="32"/>
          <w:szCs w:val="32"/>
        </w:rPr>
      </w:pPr>
      <w:r>
        <w:rPr>
          <w:rFonts w:ascii="黑体" w:eastAsia="黑体" w:hAnsi="黑体" w:hint="eastAsia"/>
          <w:sz w:val="32"/>
          <w:szCs w:val="32"/>
        </w:rPr>
        <w:t>1、标准化作用日益突显。</w:t>
      </w:r>
      <w:r>
        <w:rPr>
          <w:rFonts w:ascii="仿宋_GB2312" w:eastAsia="仿宋_GB2312" w:hAnsi="黑体" w:hint="eastAsia"/>
          <w:sz w:val="32"/>
          <w:szCs w:val="32"/>
        </w:rPr>
        <w:t>标准是经济活动和社会发展的技术支撑，是国家基础性制度的重要方面。标准化在国家治理体系和治理能力现代化中发挥着基础性、引领性作用。新时代推动高质量发展，全面建设社会主义现代化国家，迫切需要进一步加强标准化工作。</w:t>
      </w:r>
    </w:p>
    <w:p w:rsidR="00FB0CE1" w:rsidRDefault="008C73E8" w:rsidP="002157CE">
      <w:pPr>
        <w:pStyle w:val="a5"/>
        <w:spacing w:line="540" w:lineRule="exact"/>
        <w:ind w:firstLineChars="0" w:firstLine="640"/>
        <w:rPr>
          <w:rFonts w:eastAsia="黑体"/>
          <w:sz w:val="32"/>
          <w:szCs w:val="32"/>
        </w:rPr>
      </w:pPr>
      <w:r>
        <w:rPr>
          <w:rFonts w:ascii="黑体" w:eastAsia="黑体" w:hAnsi="黑体" w:hint="eastAsia"/>
          <w:sz w:val="32"/>
          <w:szCs w:val="32"/>
        </w:rPr>
        <w:t>2、法律法规有明确规定。</w:t>
      </w:r>
      <w:r>
        <w:rPr>
          <w:rFonts w:ascii="仿宋_GB2312" w:eastAsia="仿宋_GB2312" w:hAnsi="宋体" w:hint="eastAsia"/>
          <w:color w:val="000000"/>
          <w:sz w:val="32"/>
          <w:szCs w:val="32"/>
        </w:rPr>
        <w:t>《中华人民共和国标准化法》第三条第二款规定：“县级以上人民政府应当将标准化工作纳入本级国民经济和社会发展规划，将标准化工作经费纳入本级预算。”第九条规定：“对在标准化工作中做出显著成绩的单位和个人，按照国家有关规定给予表彰和奖励。” 《浙江省标准化管理条例》第四十八条规定：“县级以上人民政府应当将标准化工作经费纳入本级预算，重点支持国际标准、国家标准和地方标准的制定，创新性公益性标准化试点示范项目的建设，标准化人才培训以及开展国际标准化工作。”。</w:t>
      </w:r>
    </w:p>
    <w:p w:rsidR="00FB0CE1" w:rsidRDefault="008C73E8" w:rsidP="002157CE">
      <w:pPr>
        <w:pStyle w:val="a5"/>
        <w:spacing w:line="540" w:lineRule="exact"/>
        <w:ind w:firstLineChars="0" w:firstLine="640"/>
        <w:rPr>
          <w:rFonts w:ascii="仿宋_GB2312" w:eastAsia="仿宋_GB2312" w:hAnsi="宋体"/>
          <w:color w:val="000000"/>
          <w:sz w:val="32"/>
          <w:szCs w:val="32"/>
        </w:rPr>
      </w:pPr>
      <w:r>
        <w:rPr>
          <w:rFonts w:ascii="黑体" w:eastAsia="黑体" w:hAnsi="黑体" w:hint="eastAsia"/>
          <w:sz w:val="32"/>
          <w:szCs w:val="32"/>
        </w:rPr>
        <w:t>3、政策实施有很好成效。</w:t>
      </w:r>
      <w:r>
        <w:rPr>
          <w:rFonts w:ascii="仿宋_GB2312" w:eastAsia="仿宋_GB2312" w:hAnsi="宋体" w:hint="eastAsia"/>
          <w:color w:val="000000"/>
          <w:sz w:val="32"/>
          <w:szCs w:val="32"/>
        </w:rPr>
        <w:t>该项资助政策从2007年实施</w:t>
      </w:r>
      <w:r>
        <w:rPr>
          <w:rFonts w:ascii="仿宋_GB2312" w:eastAsia="仿宋_GB2312" w:hAnsi="宋体" w:hint="eastAsia"/>
          <w:color w:val="000000"/>
          <w:sz w:val="32"/>
          <w:szCs w:val="32"/>
        </w:rPr>
        <w:lastRenderedPageBreak/>
        <w:t>以来，有效推进了杭州“标准化+”的全面发展。截至目前，</w:t>
      </w:r>
      <w:r>
        <w:rPr>
          <w:rFonts w:ascii="仿宋_GB2312" w:eastAsia="仿宋_GB2312" w:hint="eastAsia"/>
          <w:sz w:val="32"/>
          <w:szCs w:val="32"/>
        </w:rPr>
        <w:t>全市主导和参与国际标准制修订</w:t>
      </w:r>
      <w:r w:rsidRPr="002157CE">
        <w:rPr>
          <w:rFonts w:ascii="仿宋_GB2312" w:eastAsia="仿宋_GB2312" w:hint="eastAsia"/>
          <w:sz w:val="32"/>
          <w:szCs w:val="32"/>
        </w:rPr>
        <w:t>84</w:t>
      </w:r>
      <w:r>
        <w:rPr>
          <w:rFonts w:ascii="仿宋_GB2312" w:eastAsia="仿宋_GB2312" w:hint="eastAsia"/>
          <w:sz w:val="32"/>
          <w:szCs w:val="32"/>
        </w:rPr>
        <w:t>项、主导国家标准850项、行业标准1243项、“浙江制造”等团体标准411项、地方标准195项，先后有6个国际、46个国家、40个省级标准化组织落户我市，承担ISO有关TC、SC主席职务5人，68项标准获中国标准创新贡献奖。</w:t>
      </w:r>
    </w:p>
    <w:p w:rsidR="00FB0CE1" w:rsidRDefault="008C73E8" w:rsidP="002157CE">
      <w:pPr>
        <w:pStyle w:val="a5"/>
        <w:numPr>
          <w:ilvl w:val="0"/>
          <w:numId w:val="1"/>
        </w:numPr>
        <w:spacing w:line="540" w:lineRule="exact"/>
        <w:ind w:firstLineChars="0"/>
        <w:rPr>
          <w:rFonts w:ascii="黑体" w:eastAsia="黑体" w:hAnsi="黑体"/>
          <w:sz w:val="32"/>
          <w:szCs w:val="32"/>
        </w:rPr>
      </w:pPr>
      <w:r>
        <w:rPr>
          <w:rFonts w:ascii="黑体" w:eastAsia="黑体" w:hAnsi="黑体" w:hint="eastAsia"/>
          <w:sz w:val="32"/>
          <w:szCs w:val="32"/>
        </w:rPr>
        <w:t>制定的主要依据</w:t>
      </w:r>
    </w:p>
    <w:p w:rsidR="00FB0CE1" w:rsidRDefault="008C73E8" w:rsidP="002157CE">
      <w:pPr>
        <w:spacing w:line="540" w:lineRule="exact"/>
        <w:ind w:left="630"/>
        <w:rPr>
          <w:rFonts w:ascii="仿宋_GB2312" w:eastAsia="仿宋_GB2312" w:hAnsi="宋体"/>
          <w:color w:val="000000"/>
          <w:sz w:val="32"/>
          <w:szCs w:val="32"/>
        </w:rPr>
      </w:pPr>
      <w:r>
        <w:rPr>
          <w:rFonts w:ascii="仿宋_GB2312" w:eastAsia="仿宋_GB2312" w:hAnsi="宋体" w:hint="eastAsia"/>
          <w:color w:val="000000"/>
          <w:sz w:val="32"/>
          <w:szCs w:val="32"/>
        </w:rPr>
        <w:t>1、《中华人民共和国标准化法》</w:t>
      </w:r>
    </w:p>
    <w:p w:rsidR="00FB0CE1" w:rsidRDefault="008C73E8" w:rsidP="002157CE">
      <w:pPr>
        <w:spacing w:line="540" w:lineRule="exact"/>
        <w:ind w:left="630"/>
        <w:rPr>
          <w:rFonts w:ascii="仿宋_GB2312" w:eastAsia="仿宋_GB2312" w:hAnsi="宋体"/>
          <w:color w:val="000000"/>
          <w:sz w:val="32"/>
          <w:szCs w:val="32"/>
        </w:rPr>
      </w:pPr>
      <w:r>
        <w:rPr>
          <w:rFonts w:ascii="仿宋_GB2312" w:eastAsia="仿宋_GB2312" w:hAnsi="宋体" w:hint="eastAsia"/>
          <w:color w:val="000000"/>
          <w:sz w:val="32"/>
          <w:szCs w:val="32"/>
        </w:rPr>
        <w:t>2、《浙江省标准化管理条例》</w:t>
      </w:r>
    </w:p>
    <w:p w:rsidR="00FB0CE1" w:rsidRDefault="008C73E8" w:rsidP="002157CE">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3、中共杭州市委杭州市人民政府《关于实施创新驱动战略  加快新旧动能转换推动制造业高质量发展的若干意见》（市委〔2018〕29号）</w:t>
      </w:r>
    </w:p>
    <w:p w:rsidR="00FB0CE1" w:rsidRDefault="008C73E8" w:rsidP="002157CE">
      <w:pPr>
        <w:spacing w:line="54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4、杭州市人民政府办公厅《关于印发加快国际级软件名城创建  助推数字经济发展若干政策的通知》（杭政办函〔2018〕114号）</w:t>
      </w:r>
    </w:p>
    <w:p w:rsidR="00FB0CE1" w:rsidRDefault="008C73E8" w:rsidP="002157CE">
      <w:pPr>
        <w:spacing w:line="540" w:lineRule="exact"/>
        <w:ind w:firstLineChars="200" w:firstLine="640"/>
        <w:rPr>
          <w:rFonts w:ascii="仿宋_GB2312" w:eastAsia="仿宋_GB2312" w:hAnsi="黑体"/>
          <w:b/>
          <w:sz w:val="32"/>
          <w:szCs w:val="32"/>
        </w:rPr>
      </w:pPr>
      <w:r>
        <w:rPr>
          <w:rFonts w:ascii="仿宋_GB2312" w:eastAsia="仿宋_GB2312" w:hAnsi="宋体" w:hint="eastAsia"/>
          <w:color w:val="000000"/>
          <w:sz w:val="32"/>
          <w:szCs w:val="32"/>
        </w:rPr>
        <w:t>5、杭州市市场监督管理局、市财政局《关于印发杭州市标准化项目资助经费管理办法的通知》（杭市管〔2019〕46号）</w:t>
      </w:r>
    </w:p>
    <w:p w:rsidR="00FB0CE1" w:rsidRDefault="008C73E8" w:rsidP="002157CE">
      <w:pPr>
        <w:pStyle w:val="a5"/>
        <w:numPr>
          <w:ilvl w:val="0"/>
          <w:numId w:val="1"/>
        </w:numPr>
        <w:spacing w:line="540" w:lineRule="exact"/>
        <w:ind w:firstLineChars="0"/>
        <w:rPr>
          <w:rFonts w:ascii="黑体" w:eastAsia="黑体" w:hAnsi="黑体"/>
          <w:sz w:val="32"/>
          <w:szCs w:val="32"/>
        </w:rPr>
      </w:pPr>
      <w:r>
        <w:rPr>
          <w:rFonts w:ascii="黑体" w:eastAsia="黑体" w:hAnsi="黑体" w:hint="eastAsia"/>
          <w:sz w:val="32"/>
          <w:szCs w:val="32"/>
        </w:rPr>
        <w:t>主要内容修订情况</w:t>
      </w:r>
    </w:p>
    <w:p w:rsidR="00FB0CE1" w:rsidRDefault="008C73E8" w:rsidP="002157CE">
      <w:pPr>
        <w:pStyle w:val="a5"/>
        <w:numPr>
          <w:ilvl w:val="0"/>
          <w:numId w:val="2"/>
        </w:numPr>
        <w:spacing w:line="540" w:lineRule="exact"/>
        <w:ind w:firstLineChars="0"/>
        <w:rPr>
          <w:rFonts w:ascii="仿宋_GB2312" w:eastAsia="仿宋_GB2312" w:hAnsi="黑体"/>
          <w:b/>
          <w:sz w:val="32"/>
          <w:szCs w:val="32"/>
        </w:rPr>
      </w:pPr>
      <w:r>
        <w:rPr>
          <w:rFonts w:ascii="仿宋_GB2312" w:eastAsia="仿宋_GB2312" w:hAnsi="黑体" w:hint="eastAsia"/>
          <w:b/>
          <w:sz w:val="32"/>
          <w:szCs w:val="32"/>
        </w:rPr>
        <w:t>适用范围</w:t>
      </w:r>
    </w:p>
    <w:p w:rsidR="00FB0CE1" w:rsidRDefault="008C73E8" w:rsidP="002157CE">
      <w:pPr>
        <w:spacing w:line="540" w:lineRule="exact"/>
        <w:ind w:firstLineChars="200" w:firstLine="640"/>
        <w:rPr>
          <w:rFonts w:ascii="仿宋_GB2312" w:eastAsia="仿宋_GB2312" w:hAnsi="黑体"/>
          <w:sz w:val="32"/>
          <w:szCs w:val="32"/>
        </w:rPr>
      </w:pPr>
      <w:r>
        <w:rPr>
          <w:rFonts w:ascii="仿宋_GB2312" w:eastAsia="仿宋_GB2312" w:hAnsi="黑体" w:hint="eastAsia"/>
          <w:sz w:val="32"/>
          <w:szCs w:val="32"/>
        </w:rPr>
        <w:t>1、申报对象与原条款保持不变。</w:t>
      </w:r>
    </w:p>
    <w:p w:rsidR="00FB0CE1" w:rsidRDefault="008C73E8" w:rsidP="002157CE">
      <w:pPr>
        <w:pStyle w:val="a5"/>
        <w:spacing w:line="540" w:lineRule="exact"/>
        <w:ind w:firstLine="640"/>
        <w:rPr>
          <w:rFonts w:ascii="仿宋_GB2312" w:eastAsia="仿宋_GB2312" w:hAnsi="黑体"/>
          <w:sz w:val="32"/>
          <w:szCs w:val="32"/>
        </w:rPr>
      </w:pPr>
      <w:r>
        <w:rPr>
          <w:rFonts w:ascii="仿宋_GB2312" w:eastAsia="仿宋_GB2312" w:hAnsi="黑体" w:hint="eastAsia"/>
          <w:sz w:val="32"/>
          <w:szCs w:val="32"/>
        </w:rPr>
        <w:t>2、标准化资助项目内容：一是删除团体标准的资助。理由是团体标准属于企事业主体的市场标准，</w:t>
      </w:r>
      <w:r>
        <w:rPr>
          <w:rFonts w:ascii="仿宋_GB2312" w:eastAsia="仿宋_GB2312" w:hAnsi="宋体" w:hint="eastAsia"/>
          <w:color w:val="000000"/>
          <w:sz w:val="32"/>
          <w:szCs w:val="32"/>
        </w:rPr>
        <w:t>其标准发布只需在公开平台上自我声明即可。</w:t>
      </w:r>
      <w:r>
        <w:rPr>
          <w:rFonts w:ascii="仿宋_GB2312" w:eastAsia="仿宋_GB2312" w:hAnsi="黑体" w:hint="eastAsia"/>
          <w:sz w:val="32"/>
          <w:szCs w:val="32"/>
        </w:rPr>
        <w:t>原</w:t>
      </w:r>
      <w:r>
        <w:rPr>
          <w:rFonts w:ascii="仿宋_GB2312" w:eastAsia="仿宋_GB2312" w:hAnsi="宋体" w:hint="eastAsia"/>
          <w:color w:val="000000"/>
          <w:sz w:val="32"/>
          <w:szCs w:val="32"/>
        </w:rPr>
        <w:t>杭市管〔2019〕46号文件明确予以资助，主要是贯彻2018年1月1日实施的《中华人民共和国标准化法》，营造团体标准发展的良好氛围。二是取消了</w:t>
      </w:r>
      <w:r>
        <w:rPr>
          <w:rFonts w:ascii="仿宋_GB2312" w:eastAsia="仿宋_GB2312" w:hAnsi="黑体" w:hint="eastAsia"/>
          <w:sz w:val="32"/>
          <w:szCs w:val="32"/>
        </w:rPr>
        <w:t>应对国外技术性贸易壁垒项目。理由是成功应对国外技术性贸易壁垒的单位的界定比较难，最近几年很少有这类项资助。</w:t>
      </w:r>
    </w:p>
    <w:p w:rsidR="00FB0CE1" w:rsidRDefault="008C73E8" w:rsidP="002157CE">
      <w:pPr>
        <w:pStyle w:val="a5"/>
        <w:numPr>
          <w:ilvl w:val="0"/>
          <w:numId w:val="2"/>
        </w:numPr>
        <w:spacing w:line="540" w:lineRule="exact"/>
        <w:ind w:firstLineChars="0"/>
        <w:rPr>
          <w:rFonts w:ascii="仿宋_GB2312" w:eastAsia="仿宋_GB2312" w:hAnsi="黑体"/>
          <w:b/>
          <w:sz w:val="32"/>
          <w:szCs w:val="32"/>
        </w:rPr>
      </w:pPr>
      <w:r>
        <w:rPr>
          <w:rFonts w:ascii="仿宋_GB2312" w:eastAsia="仿宋_GB2312" w:hAnsi="黑体" w:hint="eastAsia"/>
          <w:b/>
          <w:sz w:val="32"/>
          <w:szCs w:val="32"/>
        </w:rPr>
        <w:t>组织管理</w:t>
      </w:r>
    </w:p>
    <w:p w:rsidR="00FB0CE1" w:rsidRDefault="008C73E8" w:rsidP="002157CE">
      <w:pPr>
        <w:pStyle w:val="a5"/>
        <w:spacing w:line="540" w:lineRule="exact"/>
        <w:ind w:left="630" w:firstLineChars="0" w:firstLine="0"/>
        <w:rPr>
          <w:rFonts w:ascii="仿宋_GB2312" w:eastAsia="仿宋_GB2312" w:hAnsi="黑体"/>
          <w:sz w:val="32"/>
          <w:szCs w:val="32"/>
        </w:rPr>
      </w:pPr>
      <w:r>
        <w:rPr>
          <w:rFonts w:ascii="仿宋_GB2312" w:eastAsia="仿宋_GB2312" w:hAnsi="黑体" w:hint="eastAsia"/>
          <w:sz w:val="32"/>
          <w:szCs w:val="32"/>
        </w:rPr>
        <w:t>保持原有条款不变。</w:t>
      </w:r>
    </w:p>
    <w:p w:rsidR="00FB0CE1" w:rsidRDefault="008C73E8" w:rsidP="002157CE">
      <w:pPr>
        <w:pStyle w:val="a5"/>
        <w:numPr>
          <w:ilvl w:val="0"/>
          <w:numId w:val="2"/>
        </w:numPr>
        <w:spacing w:line="540" w:lineRule="exact"/>
        <w:ind w:firstLineChars="0"/>
        <w:rPr>
          <w:rFonts w:ascii="仿宋_GB2312" w:eastAsia="仿宋_GB2312" w:hAnsi="黑体"/>
          <w:b/>
          <w:sz w:val="32"/>
          <w:szCs w:val="32"/>
        </w:rPr>
      </w:pPr>
      <w:r>
        <w:rPr>
          <w:rFonts w:ascii="仿宋_GB2312" w:eastAsia="仿宋_GB2312" w:hAnsi="黑体" w:hint="eastAsia"/>
          <w:b/>
          <w:sz w:val="32"/>
          <w:szCs w:val="32"/>
        </w:rPr>
        <w:t>资助项目及资助标准</w:t>
      </w:r>
    </w:p>
    <w:p w:rsidR="00FB0CE1" w:rsidRDefault="008C73E8" w:rsidP="002157CE">
      <w:pPr>
        <w:pStyle w:val="a5"/>
        <w:numPr>
          <w:ilvl w:val="0"/>
          <w:numId w:val="3"/>
        </w:numPr>
        <w:spacing w:line="540" w:lineRule="exact"/>
        <w:ind w:firstLine="640"/>
        <w:rPr>
          <w:rFonts w:ascii="仿宋_GB2312" w:eastAsia="仿宋_GB2312" w:hAnsi="黑体"/>
          <w:sz w:val="32"/>
          <w:szCs w:val="32"/>
        </w:rPr>
      </w:pPr>
      <w:bookmarkStart w:id="0" w:name="_GoBack"/>
      <w:bookmarkEnd w:id="0"/>
      <w:r>
        <w:rPr>
          <w:rFonts w:ascii="仿宋_GB2312" w:eastAsia="仿宋_GB2312" w:hAnsi="黑体" w:hint="eastAsia"/>
          <w:sz w:val="32"/>
          <w:szCs w:val="32"/>
        </w:rPr>
        <w:t>取消对修订标准的资助，理由为修订的企业为已资助企业，不重复资助。</w:t>
      </w:r>
    </w:p>
    <w:p w:rsidR="00FB0CE1" w:rsidRDefault="008C73E8" w:rsidP="002157CE">
      <w:pPr>
        <w:pStyle w:val="a5"/>
        <w:numPr>
          <w:ilvl w:val="0"/>
          <w:numId w:val="3"/>
        </w:numPr>
        <w:spacing w:line="540" w:lineRule="exact"/>
        <w:ind w:firstLine="640"/>
        <w:rPr>
          <w:rFonts w:ascii="仿宋_GB2312" w:eastAsia="仿宋_GB2312" w:hAnsi="黑体"/>
          <w:sz w:val="32"/>
          <w:szCs w:val="32"/>
        </w:rPr>
      </w:pPr>
      <w:r>
        <w:rPr>
          <w:rFonts w:ascii="仿宋_GB2312" w:eastAsia="仿宋_GB2312" w:hAnsi="黑体" w:hint="eastAsia"/>
          <w:sz w:val="32"/>
          <w:szCs w:val="32"/>
        </w:rPr>
        <w:t>取消了对数字经济“一号工程”的企业予以1.5倍的资助。理由为数字经济“一号工程”认定较难，其制定的标准绝大多数非数字经济领域标准。</w:t>
      </w:r>
    </w:p>
    <w:p w:rsidR="00FB0CE1" w:rsidRDefault="008C73E8" w:rsidP="002157CE">
      <w:pPr>
        <w:pStyle w:val="a5"/>
        <w:numPr>
          <w:ilvl w:val="0"/>
          <w:numId w:val="3"/>
        </w:numPr>
        <w:spacing w:line="540" w:lineRule="exact"/>
        <w:ind w:firstLine="640"/>
        <w:rPr>
          <w:rFonts w:ascii="仿宋_GB2312" w:eastAsia="仿宋_GB2312" w:hAnsi="黑体"/>
          <w:sz w:val="32"/>
          <w:szCs w:val="32"/>
        </w:rPr>
      </w:pPr>
      <w:r>
        <w:rPr>
          <w:rFonts w:ascii="仿宋_GB2312" w:eastAsia="仿宋_GB2312" w:hAnsi="黑体" w:hint="eastAsia"/>
          <w:sz w:val="32"/>
          <w:szCs w:val="32"/>
        </w:rPr>
        <w:t>取消了成功应对国外技术性贸易壁垒的单位每项给予不高于20万元的资助。理由同三、（一）2条款。</w:t>
      </w:r>
    </w:p>
    <w:p w:rsidR="00FB0CE1" w:rsidRDefault="008C73E8" w:rsidP="002157CE">
      <w:pPr>
        <w:pStyle w:val="a5"/>
        <w:numPr>
          <w:ilvl w:val="0"/>
          <w:numId w:val="3"/>
        </w:numPr>
        <w:spacing w:line="540" w:lineRule="exact"/>
        <w:ind w:firstLine="640"/>
        <w:rPr>
          <w:rFonts w:ascii="仿宋_GB2312" w:eastAsia="仿宋_GB2312" w:hAnsi="黑体"/>
          <w:sz w:val="32"/>
          <w:szCs w:val="32"/>
        </w:rPr>
      </w:pPr>
      <w:r>
        <w:rPr>
          <w:rFonts w:ascii="仿宋_GB2312" w:eastAsia="仿宋_GB2312" w:hAnsi="黑体" w:hint="eastAsia"/>
          <w:sz w:val="32"/>
          <w:szCs w:val="32"/>
        </w:rPr>
        <w:t>增加了对</w:t>
      </w:r>
      <w:r>
        <w:rPr>
          <w:rFonts w:ascii="仿宋_GB2312" w:eastAsia="仿宋_GB2312" w:hAnsi="宋体" w:cs="宋体" w:hint="eastAsia"/>
          <w:color w:val="000000"/>
          <w:sz w:val="32"/>
          <w:szCs w:val="32"/>
        </w:rPr>
        <w:t>主导制定完成省级、市级</w:t>
      </w:r>
      <w:r>
        <w:rPr>
          <w:rFonts w:ascii="仿宋_GB2312" w:eastAsia="仿宋_GB2312" w:hAnsi="宋体" w:hint="eastAsia"/>
          <w:color w:val="000000"/>
          <w:sz w:val="32"/>
          <w:szCs w:val="32"/>
        </w:rPr>
        <w:t>地方标准，牵头开展省级、市级标准化试点示范项目的单位，根据评审得分</w:t>
      </w:r>
      <w:r>
        <w:rPr>
          <w:rFonts w:ascii="仿宋_GB2312" w:eastAsia="仿宋_GB2312" w:hAnsi="宋体" w:hint="eastAsia"/>
          <w:sz w:val="32"/>
          <w:szCs w:val="32"/>
        </w:rPr>
        <w:t>，给予资助。理由一是参考了先进兄弟城市（如深圳、南京、宁波等地）的做法，二是为国际标准、国家标准、行业标准和国家试点示范建立培育库。</w:t>
      </w:r>
    </w:p>
    <w:p w:rsidR="00FB0CE1" w:rsidRDefault="008C73E8" w:rsidP="002157CE">
      <w:pPr>
        <w:pStyle w:val="a5"/>
        <w:numPr>
          <w:ilvl w:val="0"/>
          <w:numId w:val="2"/>
        </w:numPr>
        <w:spacing w:line="540" w:lineRule="exact"/>
        <w:ind w:firstLineChars="0"/>
        <w:rPr>
          <w:rFonts w:ascii="仿宋_GB2312" w:eastAsia="仿宋_GB2312" w:hAnsi="黑体"/>
          <w:b/>
          <w:sz w:val="32"/>
          <w:szCs w:val="32"/>
        </w:rPr>
      </w:pPr>
      <w:r>
        <w:rPr>
          <w:rFonts w:ascii="仿宋_GB2312" w:eastAsia="仿宋_GB2312" w:hAnsi="黑体" w:hint="eastAsia"/>
          <w:b/>
          <w:sz w:val="32"/>
          <w:szCs w:val="32"/>
        </w:rPr>
        <w:t>申报材料、程序及批准</w:t>
      </w:r>
    </w:p>
    <w:p w:rsidR="00FB0CE1" w:rsidRDefault="008C73E8" w:rsidP="002157CE">
      <w:pPr>
        <w:pStyle w:val="a5"/>
        <w:spacing w:line="540" w:lineRule="exact"/>
        <w:ind w:firstLine="640"/>
        <w:rPr>
          <w:rFonts w:ascii="仿宋_GB2312" w:eastAsia="仿宋_GB2312" w:hAnsi="黑体"/>
          <w:sz w:val="32"/>
          <w:szCs w:val="32"/>
        </w:rPr>
      </w:pPr>
      <w:r>
        <w:rPr>
          <w:rFonts w:ascii="仿宋_GB2312" w:eastAsia="仿宋_GB2312" w:hAnsi="黑体" w:hint="eastAsia"/>
          <w:sz w:val="32"/>
          <w:szCs w:val="32"/>
        </w:rPr>
        <w:t>取消了团体标准和应对国外技术性贸易壁垒的资料申报。理由同三、（一）2条款。</w:t>
      </w:r>
    </w:p>
    <w:p w:rsidR="00FB0CE1" w:rsidRDefault="008C73E8" w:rsidP="002157CE">
      <w:pPr>
        <w:pStyle w:val="a5"/>
        <w:numPr>
          <w:ilvl w:val="0"/>
          <w:numId w:val="2"/>
        </w:numPr>
        <w:spacing w:line="540" w:lineRule="exact"/>
        <w:ind w:firstLineChars="0"/>
        <w:rPr>
          <w:rFonts w:ascii="仿宋_GB2312" w:eastAsia="仿宋_GB2312" w:hAnsi="黑体"/>
          <w:b/>
          <w:sz w:val="32"/>
          <w:szCs w:val="32"/>
        </w:rPr>
      </w:pPr>
      <w:r>
        <w:rPr>
          <w:rFonts w:ascii="仿宋_GB2312" w:eastAsia="仿宋_GB2312" w:hAnsi="黑体" w:hint="eastAsia"/>
          <w:b/>
          <w:sz w:val="32"/>
          <w:szCs w:val="32"/>
        </w:rPr>
        <w:t>附则</w:t>
      </w:r>
    </w:p>
    <w:p w:rsidR="00FB0CE1" w:rsidRDefault="008C73E8" w:rsidP="002157CE">
      <w:pPr>
        <w:pStyle w:val="a5"/>
        <w:spacing w:line="540" w:lineRule="exact"/>
        <w:ind w:firstLine="640"/>
        <w:rPr>
          <w:rFonts w:ascii="仿宋_GB2312" w:eastAsia="仿宋_GB2312" w:hAnsi="黑体"/>
          <w:sz w:val="32"/>
          <w:szCs w:val="32"/>
        </w:rPr>
      </w:pPr>
      <w:r>
        <w:rPr>
          <w:rFonts w:ascii="仿宋_GB2312" w:eastAsia="仿宋_GB2312" w:hAnsi="黑体" w:hint="eastAsia"/>
          <w:sz w:val="32"/>
          <w:szCs w:val="32"/>
        </w:rPr>
        <w:t>新</w:t>
      </w:r>
      <w:r>
        <w:rPr>
          <w:rFonts w:ascii="仿宋_GB2312" w:eastAsia="仿宋_GB2312" w:hAnsi="宋体" w:hint="eastAsia"/>
          <w:color w:val="000000"/>
          <w:kern w:val="0"/>
          <w:sz w:val="32"/>
          <w:szCs w:val="32"/>
        </w:rPr>
        <w:t>《管理办法》发布实施后，原</w:t>
      </w:r>
      <w:r>
        <w:rPr>
          <w:rFonts w:ascii="仿宋_GB2312" w:eastAsia="仿宋_GB2312" w:hAnsi="宋体" w:hint="eastAsia"/>
          <w:color w:val="000000"/>
          <w:sz w:val="32"/>
          <w:szCs w:val="32"/>
        </w:rPr>
        <w:t>杭市管〔2019〕46号同废止。</w:t>
      </w:r>
    </w:p>
    <w:sectPr w:rsidR="00FB0CE1" w:rsidSect="00FB0CE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031" w:rsidRDefault="00037031" w:rsidP="002157CE">
      <w:r>
        <w:separator/>
      </w:r>
    </w:p>
  </w:endnote>
  <w:endnote w:type="continuationSeparator" w:id="1">
    <w:p w:rsidR="00037031" w:rsidRDefault="00037031" w:rsidP="002157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031" w:rsidRDefault="00037031" w:rsidP="002157CE">
      <w:r>
        <w:separator/>
      </w:r>
    </w:p>
  </w:footnote>
  <w:footnote w:type="continuationSeparator" w:id="1">
    <w:p w:rsidR="00037031" w:rsidRDefault="00037031" w:rsidP="002157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3995F3C"/>
    <w:multiLevelType w:val="singleLevel"/>
    <w:tmpl w:val="D3995F3C"/>
    <w:lvl w:ilvl="0">
      <w:start w:val="1"/>
      <w:numFmt w:val="decimal"/>
      <w:suff w:val="nothing"/>
      <w:lvlText w:val="%1、"/>
      <w:lvlJc w:val="left"/>
    </w:lvl>
  </w:abstractNum>
  <w:abstractNum w:abstractNumId="1">
    <w:nsid w:val="3E22637C"/>
    <w:multiLevelType w:val="multilevel"/>
    <w:tmpl w:val="3E22637C"/>
    <w:lvl w:ilvl="0">
      <w:start w:val="1"/>
      <w:numFmt w:val="japaneseCounting"/>
      <w:lvlText w:val="%1、"/>
      <w:lvlJc w:val="left"/>
      <w:pPr>
        <w:ind w:left="1350" w:hanging="72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
    <w:nsid w:val="4C634556"/>
    <w:multiLevelType w:val="multilevel"/>
    <w:tmpl w:val="4C634556"/>
    <w:lvl w:ilvl="0">
      <w:start w:val="1"/>
      <w:numFmt w:val="japaneseCounting"/>
      <w:lvlText w:val="（%1）"/>
      <w:lvlJc w:val="left"/>
      <w:pPr>
        <w:ind w:left="1710" w:hanging="108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5FDF"/>
    <w:rsid w:val="00037031"/>
    <w:rsid w:val="00192774"/>
    <w:rsid w:val="001D756D"/>
    <w:rsid w:val="0020507D"/>
    <w:rsid w:val="002157CE"/>
    <w:rsid w:val="002403AE"/>
    <w:rsid w:val="00244EBC"/>
    <w:rsid w:val="002F76A1"/>
    <w:rsid w:val="003F716B"/>
    <w:rsid w:val="00424A8C"/>
    <w:rsid w:val="00434ACA"/>
    <w:rsid w:val="004E5FDF"/>
    <w:rsid w:val="0051453B"/>
    <w:rsid w:val="0053776F"/>
    <w:rsid w:val="0058182C"/>
    <w:rsid w:val="00717C98"/>
    <w:rsid w:val="008C73E8"/>
    <w:rsid w:val="00B72319"/>
    <w:rsid w:val="00C42DD1"/>
    <w:rsid w:val="00CF7B9D"/>
    <w:rsid w:val="00D15A4E"/>
    <w:rsid w:val="00DE1BDE"/>
    <w:rsid w:val="00F040DD"/>
    <w:rsid w:val="00FB0CE1"/>
    <w:rsid w:val="00FE456D"/>
    <w:rsid w:val="1D872C4D"/>
    <w:rsid w:val="5DDF7B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CE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FB0CE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FB0CE1"/>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FB0CE1"/>
    <w:pPr>
      <w:ind w:firstLineChars="200" w:firstLine="420"/>
    </w:pPr>
  </w:style>
  <w:style w:type="character" w:customStyle="1" w:styleId="Char0">
    <w:name w:val="页眉 Char"/>
    <w:basedOn w:val="a0"/>
    <w:link w:val="a4"/>
    <w:uiPriority w:val="99"/>
    <w:semiHidden/>
    <w:rsid w:val="00FB0CE1"/>
    <w:rPr>
      <w:kern w:val="2"/>
      <w:sz w:val="18"/>
      <w:szCs w:val="18"/>
    </w:rPr>
  </w:style>
  <w:style w:type="character" w:customStyle="1" w:styleId="Char">
    <w:name w:val="页脚 Char"/>
    <w:basedOn w:val="a0"/>
    <w:link w:val="a3"/>
    <w:uiPriority w:val="99"/>
    <w:semiHidden/>
    <w:rsid w:val="00FB0CE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226</Words>
  <Characters>1293</Characters>
  <Application>Microsoft Office Word</Application>
  <DocSecurity>0</DocSecurity>
  <Lines>10</Lines>
  <Paragraphs>3</Paragraphs>
  <ScaleCrop>false</ScaleCrop>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2021-09-02T01:09:00Z</cp:lastPrinted>
  <dcterms:created xsi:type="dcterms:W3CDTF">2021-09-02T07:36:00Z</dcterms:created>
  <dcterms:modified xsi:type="dcterms:W3CDTF">2021-09-02T08:03:00Z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C67A5C5397B149C48F7F2E5F2ED914F6</vt:lpwstr>
  </property>
</Properties>
</file>