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420" w:lineRule="atLeast"/>
        <w:ind w:left="0" w:right="0" w:firstLine="420"/>
        <w:jc w:val="left"/>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附件</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bookmarkStart w:id="0" w:name="_GoBack"/>
      <w:r>
        <w:rPr>
          <w:rFonts w:hint="default" w:ascii="sans-serif" w:hAnsi="sans-serif" w:eastAsia="sans-serif" w:cs="sans-serif"/>
          <w:i w:val="0"/>
          <w:caps w:val="0"/>
          <w:color w:val="000000"/>
          <w:spacing w:val="0"/>
          <w:sz w:val="24"/>
          <w:szCs w:val="24"/>
        </w:rPr>
        <w:t>整合划入市场监管综合行政执法范围的执法事项目录</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bdr w:val="none" w:color="auto" w:sz="0" w:space="0"/>
        </w:rPr>
      </w:pPr>
    </w:p>
    <w:tbl>
      <w:tblPr>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97"/>
        <w:gridCol w:w="356"/>
        <w:gridCol w:w="1500"/>
        <w:gridCol w:w="1133"/>
        <w:gridCol w:w="639"/>
        <w:gridCol w:w="1663"/>
        <w:gridCol w:w="783"/>
        <w:gridCol w:w="766"/>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5955" w:type="dxa"/>
            <w:gridSpan w:val="5"/>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​执法事项清单</w:t>
            </w:r>
          </w:p>
        </w:tc>
        <w:tc>
          <w:tcPr>
            <w:tcW w:w="3510" w:type="dxa"/>
            <w:vMerge w:val="restart"/>
            <w:tcBorders>
              <w:top w:val="single" w:color="000000" w:sz="6" w:space="0"/>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职责边界</w:t>
            </w:r>
          </w:p>
        </w:tc>
        <w:tc>
          <w:tcPr>
            <w:tcW w:w="1605" w:type="dxa"/>
            <w:vMerge w:val="restart"/>
            <w:tcBorders>
              <w:top w:val="single" w:color="000000" w:sz="6" w:space="0"/>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划出部门</w:t>
            </w:r>
          </w:p>
        </w:tc>
        <w:tc>
          <w:tcPr>
            <w:tcW w:w="1560" w:type="dxa"/>
            <w:vMerge w:val="restart"/>
            <w:tcBorders>
              <w:top w:val="single" w:color="000000" w:sz="6" w:space="0"/>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实施主体</w:t>
            </w:r>
          </w:p>
        </w:tc>
        <w:tc>
          <w:tcPr>
            <w:tcW w:w="1425" w:type="dxa"/>
            <w:vMerge w:val="restart"/>
            <w:tcBorders>
              <w:top w:val="single" w:color="000000" w:sz="6" w:space="0"/>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trPr>
        <w:tc>
          <w:tcPr>
            <w:tcW w:w="60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序号</w:t>
            </w:r>
          </w:p>
        </w:tc>
        <w:tc>
          <w:tcPr>
            <w:tcW w:w="495"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方面</w:t>
            </w:r>
          </w:p>
        </w:tc>
        <w:tc>
          <w:tcPr>
            <w:tcW w:w="1515"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事项编码</w:t>
            </w:r>
          </w:p>
        </w:tc>
        <w:tc>
          <w:tcPr>
            <w:tcW w:w="213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事项名称</w:t>
            </w:r>
          </w:p>
        </w:tc>
        <w:tc>
          <w:tcPr>
            <w:tcW w:w="123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具体划转</w:t>
            </w:r>
            <w:r>
              <w:rPr>
                <w:bdr w:val="none" w:color="auto" w:sz="0" w:space="0"/>
              </w:rPr>
              <w:br w:type="textWrapping"/>
            </w:r>
            <w:r>
              <w:rPr>
                <w:bdr w:val="none" w:color="auto" w:sz="0" w:space="0"/>
              </w:rPr>
              <w:t>执法事项</w:t>
            </w:r>
          </w:p>
        </w:tc>
        <w:tc>
          <w:tcPr>
            <w:tcW w:w="3510" w:type="dxa"/>
            <w:vMerge w:val="continue"/>
            <w:tcBorders>
              <w:top w:val="single" w:color="000000" w:sz="6" w:space="0"/>
              <w:left w:val="nil"/>
              <w:bottom w:val="single" w:color="000000" w:sz="6" w:space="0"/>
              <w:right w:val="single" w:color="000000" w:sz="6" w:space="0"/>
            </w:tcBorders>
            <w:shd w:val="clear"/>
            <w:vAlign w:val="center"/>
          </w:tcPr>
          <w:p>
            <w:pPr>
              <w:jc w:val="center"/>
              <w:rPr>
                <w:rFonts w:hint="eastAsia" w:ascii="宋体"/>
                <w:sz w:val="24"/>
                <w:szCs w:val="24"/>
              </w:rPr>
            </w:pPr>
          </w:p>
        </w:tc>
        <w:tc>
          <w:tcPr>
            <w:tcW w:w="1605" w:type="dxa"/>
            <w:vMerge w:val="continue"/>
            <w:tcBorders>
              <w:top w:val="single" w:color="000000" w:sz="6" w:space="0"/>
              <w:left w:val="nil"/>
              <w:bottom w:val="single" w:color="000000" w:sz="6" w:space="0"/>
              <w:right w:val="single" w:color="000000" w:sz="6" w:space="0"/>
            </w:tcBorders>
            <w:shd w:val="clear"/>
            <w:vAlign w:val="center"/>
          </w:tcPr>
          <w:p>
            <w:pPr>
              <w:jc w:val="center"/>
              <w:rPr>
                <w:rFonts w:hint="eastAsia" w:ascii="宋体"/>
                <w:sz w:val="24"/>
                <w:szCs w:val="24"/>
              </w:rPr>
            </w:pPr>
          </w:p>
        </w:tc>
        <w:tc>
          <w:tcPr>
            <w:tcW w:w="1560" w:type="dxa"/>
            <w:vMerge w:val="continue"/>
            <w:tcBorders>
              <w:top w:val="single" w:color="000000" w:sz="6" w:space="0"/>
              <w:left w:val="nil"/>
              <w:bottom w:val="single" w:color="000000" w:sz="6" w:space="0"/>
              <w:right w:val="single" w:color="000000" w:sz="6" w:space="0"/>
            </w:tcBorders>
            <w:shd w:val="clear"/>
            <w:vAlign w:val="center"/>
          </w:tcPr>
          <w:p>
            <w:pPr>
              <w:jc w:val="center"/>
              <w:rPr>
                <w:rFonts w:hint="eastAsia" w:ascii="宋体"/>
                <w:sz w:val="24"/>
                <w:szCs w:val="24"/>
              </w:rPr>
            </w:pPr>
          </w:p>
        </w:tc>
        <w:tc>
          <w:tcPr>
            <w:tcW w:w="1425" w:type="dxa"/>
            <w:vMerge w:val="continue"/>
            <w:tcBorders>
              <w:top w:val="single" w:color="000000" w:sz="6" w:space="0"/>
              <w:left w:val="nil"/>
              <w:bottom w:val="single" w:color="000000" w:sz="6" w:space="0"/>
              <w:right w:val="single" w:color="000000" w:sz="6" w:space="0"/>
            </w:tcBorders>
            <w:shd w:val="cle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600" w:type="dxa"/>
            <w:tcBorders>
              <w:top w:val="nil"/>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1</w:t>
            </w:r>
          </w:p>
        </w:tc>
        <w:tc>
          <w:tcPr>
            <w:tcW w:w="495"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外商投资</w:t>
            </w:r>
          </w:p>
        </w:tc>
        <w:tc>
          <w:tcPr>
            <w:tcW w:w="1515"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330221018000</w:t>
            </w:r>
          </w:p>
        </w:tc>
        <w:tc>
          <w:tcPr>
            <w:tcW w:w="2130" w:type="dxa"/>
            <w:tcBorders>
              <w:top w:val="nil"/>
              <w:left w:val="nil"/>
              <w:bottom w:val="single" w:color="000000" w:sz="6" w:space="0"/>
              <w:right w:val="single"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对外国投资者、外商投资企业未按照外商投资信息报告制度要求报送投资信息的行政处罚</w:t>
            </w:r>
          </w:p>
        </w:tc>
        <w:tc>
          <w:tcPr>
            <w:tcW w:w="123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全部</w:t>
            </w:r>
          </w:p>
        </w:tc>
        <w:tc>
          <w:tcPr>
            <w:tcW w:w="351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投促主管部门负责日常监管和投诉举报受理，对发现、移送的违法线索进行处理，责令改正；需要立案查处的，将相关证据材料移送市场监管部门。市场监管部门按程序办理并将处理结果反馈投促主管部门。</w:t>
            </w:r>
          </w:p>
        </w:tc>
        <w:tc>
          <w:tcPr>
            <w:tcW w:w="1605"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投促主管部门</w:t>
            </w:r>
          </w:p>
        </w:tc>
        <w:tc>
          <w:tcPr>
            <w:tcW w:w="1560"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市场监管部门</w:t>
            </w:r>
          </w:p>
        </w:tc>
        <w:tc>
          <w:tcPr>
            <w:tcW w:w="1425" w:type="dxa"/>
            <w:tcBorders>
              <w:top w:val="nil"/>
              <w:left w:val="nil"/>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t>市、区县（市）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055" w:type="dxa"/>
            <w:gridSpan w:val="9"/>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bdr w:val="none" w:color="auto" w:sz="0" w:space="0"/>
              </w:rPr>
              <w:t>注：本目录行政处罚事项根据浙江省权力事项库（监管库）动态调整。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47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2021-05-13T03:11:47Z</dcterms:created>
  <dc:creator>Administrator</dc:creator>
  <cp:lastModifiedBy>系统管理员</cp:lastModifiedBy>
  <dcterms:modified xsi:type="dcterms:W3CDTF">2021-05-13T03:25:01Z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