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4C" w:rsidRDefault="00C3744C" w:rsidP="00C3744C">
      <w:pPr>
        <w:ind w:left="3534" w:hangingChars="800" w:hanging="3534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2022年上半年度</w:t>
      </w:r>
    </w:p>
    <w:p w:rsidR="001A48CE" w:rsidRPr="001F3229" w:rsidRDefault="00C3744C" w:rsidP="00C3744C">
      <w:pPr>
        <w:ind w:leftChars="630" w:left="3505" w:hangingChars="494" w:hanging="2182"/>
        <w:rPr>
          <w:rFonts w:asciiTheme="majorEastAsia" w:eastAsiaTheme="majorEastAsia" w:hAnsiTheme="majorEastAsia"/>
          <w:b/>
          <w:sz w:val="44"/>
          <w:szCs w:val="44"/>
        </w:rPr>
      </w:pP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网购</w:t>
      </w:r>
      <w:r w:rsidR="008F2524" w:rsidRPr="001F3229">
        <w:rPr>
          <w:rFonts w:asciiTheme="majorEastAsia" w:eastAsiaTheme="majorEastAsia" w:hAnsiTheme="majorEastAsia" w:hint="eastAsia"/>
          <w:b/>
          <w:sz w:val="44"/>
          <w:szCs w:val="44"/>
        </w:rPr>
        <w:t>投诉</w:t>
      </w:r>
      <w:proofErr w:type="gramEnd"/>
      <w:r w:rsidR="008F2524" w:rsidRPr="001F3229">
        <w:rPr>
          <w:rFonts w:asciiTheme="majorEastAsia" w:eastAsiaTheme="majorEastAsia" w:hAnsiTheme="majorEastAsia" w:hint="eastAsia"/>
          <w:b/>
          <w:sz w:val="44"/>
          <w:szCs w:val="44"/>
        </w:rPr>
        <w:t>举报数据分析报告</w:t>
      </w:r>
    </w:p>
    <w:p w:rsidR="00685A14" w:rsidRPr="001F3229" w:rsidRDefault="001F32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</w:t>
      </w:r>
      <w:r w:rsidRPr="001F3229">
        <w:rPr>
          <w:rFonts w:asciiTheme="majorEastAsia" w:eastAsiaTheme="majorEastAsia" w:hAnsiTheme="majorEastAsia" w:hint="eastAsia"/>
          <w:sz w:val="28"/>
          <w:szCs w:val="28"/>
        </w:rPr>
        <w:t>（杭州市市场监督管理局）</w:t>
      </w:r>
    </w:p>
    <w:p w:rsidR="001C57C7" w:rsidRDefault="00685A14" w:rsidP="00C3744C">
      <w:pPr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8334BA" w:rsidRPr="00C3744C" w:rsidRDefault="00C3744C" w:rsidP="00C3744C">
      <w:pPr>
        <w:ind w:firstLine="648"/>
        <w:rPr>
          <w:rFonts w:ascii="黑体" w:eastAsia="黑体" w:hAnsi="黑体" w:cs="宋体"/>
          <w:b/>
          <w:kern w:val="0"/>
          <w:sz w:val="32"/>
          <w:szCs w:val="32"/>
        </w:rPr>
      </w:pPr>
      <w:r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 一、</w:t>
      </w:r>
      <w:r w:rsidR="00680B68"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基本情况</w:t>
      </w:r>
    </w:p>
    <w:p w:rsidR="00550A6B" w:rsidRPr="00685A14" w:rsidRDefault="00550A6B" w:rsidP="00550A6B">
      <w:pPr>
        <w:ind w:firstLine="648"/>
        <w:rPr>
          <w:rFonts w:ascii="仿宋_GB2312" w:eastAsia="仿宋_GB2312" w:hAnsiTheme="majorEastAsia"/>
          <w:sz w:val="32"/>
          <w:szCs w:val="32"/>
        </w:rPr>
      </w:pPr>
      <w:r w:rsidRPr="00685A14">
        <w:rPr>
          <w:rFonts w:ascii="仿宋_GB2312" w:eastAsia="仿宋_GB2312" w:hAnsiTheme="majorEastAsia" w:hint="eastAsia"/>
          <w:sz w:val="32"/>
          <w:szCs w:val="32"/>
        </w:rPr>
        <w:t>2022年上半年度，杭州市市场监管系统共接收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网购</w:t>
      </w:r>
      <w:r w:rsidRPr="00685A14">
        <w:rPr>
          <w:rFonts w:ascii="仿宋_GB2312" w:eastAsia="仿宋_GB2312" w:hAnsiTheme="majorEastAsia" w:hint="eastAsia"/>
          <w:sz w:val="32"/>
          <w:szCs w:val="32"/>
        </w:rPr>
        <w:t>投诉</w:t>
      </w:r>
      <w:proofErr w:type="gramEnd"/>
      <w:r w:rsidRPr="00685A14">
        <w:rPr>
          <w:rFonts w:ascii="仿宋_GB2312" w:eastAsia="仿宋_GB2312" w:hAnsiTheme="majorEastAsia" w:hint="eastAsia"/>
          <w:sz w:val="32"/>
          <w:szCs w:val="32"/>
        </w:rPr>
        <w:t>举报</w:t>
      </w:r>
      <w:r>
        <w:rPr>
          <w:rFonts w:ascii="仿宋_GB2312" w:eastAsia="仿宋_GB2312" w:hAnsiTheme="majorEastAsia" w:hint="eastAsia"/>
          <w:sz w:val="32"/>
          <w:szCs w:val="32"/>
        </w:rPr>
        <w:t>389250件。其中投诉316146件，举报73104件。</w:t>
      </w:r>
    </w:p>
    <w:p w:rsidR="00680B68" w:rsidRDefault="00550A6B" w:rsidP="00550A6B">
      <w:pPr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550A6B">
        <w:rPr>
          <w:rFonts w:ascii="仿宋_GB2312" w:eastAsia="仿宋_GB2312" w:hAnsiTheme="majorEastAsia" w:cs="宋体"/>
          <w:noProof/>
          <w:kern w:val="0"/>
          <w:sz w:val="32"/>
          <w:szCs w:val="32"/>
        </w:rPr>
        <w:drawing>
          <wp:inline distT="0" distB="0" distL="0" distR="0" wp14:anchorId="1C6FDCF8" wp14:editId="0A7CD869">
            <wp:extent cx="5273040" cy="3261360"/>
            <wp:effectExtent l="0" t="0" r="22860" b="15240"/>
            <wp:docPr id="43" name="图表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0A6B" w:rsidRPr="00C3744C" w:rsidRDefault="00C3744C" w:rsidP="00550A6B">
      <w:pPr>
        <w:ind w:firstLine="648"/>
        <w:rPr>
          <w:rFonts w:ascii="黑体" w:eastAsia="黑体" w:hAnsi="黑体"/>
          <w:b/>
          <w:sz w:val="32"/>
          <w:szCs w:val="32"/>
        </w:rPr>
      </w:pPr>
      <w:r w:rsidRPr="00C3744C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proofErr w:type="gramStart"/>
      <w:r w:rsidR="00434BA2" w:rsidRPr="00C3744C">
        <w:rPr>
          <w:rFonts w:ascii="黑体" w:eastAsia="黑体" w:hAnsi="黑体" w:hint="eastAsia"/>
          <w:b/>
          <w:sz w:val="32"/>
          <w:szCs w:val="32"/>
        </w:rPr>
        <w:t>网购历年</w:t>
      </w:r>
      <w:proofErr w:type="gramEnd"/>
      <w:r w:rsidR="00550A6B" w:rsidRPr="00C3744C">
        <w:rPr>
          <w:rFonts w:ascii="黑体" w:eastAsia="黑体" w:hAnsi="黑体" w:hint="eastAsia"/>
          <w:b/>
          <w:sz w:val="32"/>
          <w:szCs w:val="32"/>
        </w:rPr>
        <w:t>（上半年度）趋势情况</w:t>
      </w:r>
    </w:p>
    <w:p w:rsidR="00C3744C" w:rsidRDefault="00550A6B" w:rsidP="00BD59D8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cs="宋体" w:hint="eastAsia"/>
          <w:kern w:val="0"/>
          <w:sz w:val="32"/>
          <w:szCs w:val="32"/>
        </w:rPr>
        <w:t xml:space="preserve">     </w:t>
      </w:r>
      <w:r w:rsidR="00434BA2">
        <w:rPr>
          <w:rFonts w:ascii="仿宋_GB2312" w:eastAsia="仿宋_GB2312" w:hAnsiTheme="majorEastAsia" w:hint="eastAsia"/>
          <w:sz w:val="32"/>
          <w:szCs w:val="32"/>
        </w:rPr>
        <w:t>2018年至2022年上半年度</w:t>
      </w:r>
      <w:proofErr w:type="gramStart"/>
      <w:r w:rsidR="00434BA2">
        <w:rPr>
          <w:rFonts w:ascii="仿宋_GB2312" w:eastAsia="仿宋_GB2312" w:hAnsiTheme="majorEastAsia" w:hint="eastAsia"/>
          <w:sz w:val="32"/>
          <w:szCs w:val="32"/>
        </w:rPr>
        <w:t>网购投诉</w:t>
      </w:r>
      <w:proofErr w:type="gramEnd"/>
      <w:r w:rsidR="00434BA2">
        <w:rPr>
          <w:rFonts w:ascii="仿宋_GB2312" w:eastAsia="仿宋_GB2312" w:hAnsiTheme="majorEastAsia" w:hint="eastAsia"/>
          <w:sz w:val="32"/>
          <w:szCs w:val="32"/>
        </w:rPr>
        <w:t>举报总量分别为：</w:t>
      </w:r>
      <w:r w:rsidR="00E0526F">
        <w:rPr>
          <w:rFonts w:ascii="仿宋_GB2312" w:eastAsia="仿宋_GB2312" w:hAnsiTheme="majorEastAsia" w:hint="eastAsia"/>
          <w:sz w:val="32"/>
          <w:szCs w:val="32"/>
        </w:rPr>
        <w:t>130456</w:t>
      </w:r>
      <w:r w:rsidR="00434BA2">
        <w:rPr>
          <w:rFonts w:ascii="仿宋_GB2312" w:eastAsia="仿宋_GB2312" w:hAnsiTheme="majorEastAsia" w:hint="eastAsia"/>
          <w:sz w:val="32"/>
          <w:szCs w:val="32"/>
        </w:rPr>
        <w:t>件、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144371</w:t>
      </w:r>
      <w:r w:rsidR="00434BA2">
        <w:rPr>
          <w:rFonts w:ascii="仿宋_GB2312" w:eastAsia="仿宋_GB2312" w:hAnsiTheme="majorEastAsia" w:hint="eastAsia"/>
          <w:sz w:val="32"/>
          <w:szCs w:val="32"/>
        </w:rPr>
        <w:t>件、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173728</w:t>
      </w:r>
      <w:r w:rsidR="00434BA2">
        <w:rPr>
          <w:rFonts w:ascii="仿宋_GB2312" w:eastAsia="仿宋_GB2312" w:hAnsiTheme="majorEastAsia" w:hint="eastAsia"/>
          <w:sz w:val="32"/>
          <w:szCs w:val="32"/>
        </w:rPr>
        <w:t>件、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240073</w:t>
      </w:r>
      <w:r w:rsidR="00434BA2">
        <w:rPr>
          <w:rFonts w:ascii="仿宋_GB2312" w:eastAsia="仿宋_GB2312" w:hAnsiTheme="majorEastAsia" w:hint="eastAsia"/>
          <w:sz w:val="32"/>
          <w:szCs w:val="32"/>
        </w:rPr>
        <w:t>年、</w:t>
      </w:r>
      <w:r w:rsidR="00E0526F">
        <w:rPr>
          <w:rFonts w:ascii="仿宋_GB2312" w:eastAsia="仿宋_GB2312" w:hAnsiTheme="majorEastAsia" w:hint="eastAsia"/>
          <w:sz w:val="32"/>
          <w:szCs w:val="32"/>
        </w:rPr>
        <w:t>389250</w:t>
      </w:r>
      <w:r w:rsidR="00434BA2">
        <w:rPr>
          <w:rFonts w:ascii="仿宋_GB2312" w:eastAsia="仿宋_GB2312" w:hAnsiTheme="majorEastAsia" w:hint="eastAsia"/>
          <w:sz w:val="32"/>
          <w:szCs w:val="32"/>
        </w:rPr>
        <w:t>年。</w:t>
      </w:r>
      <w:r w:rsidR="00BD59D8">
        <w:rPr>
          <w:rFonts w:ascii="仿宋_GB2312" w:eastAsia="仿宋_GB2312" w:hAnsiTheme="majorEastAsia" w:hint="eastAsia"/>
          <w:sz w:val="32"/>
          <w:szCs w:val="32"/>
        </w:rPr>
        <w:t xml:space="preserve">                </w:t>
      </w:r>
    </w:p>
    <w:p w:rsidR="00BD59D8" w:rsidRDefault="00BD59D8" w:rsidP="00C3744C">
      <w:pPr>
        <w:ind w:firstLineChars="650" w:firstLine="1827"/>
        <w:rPr>
          <w:rFonts w:ascii="仿宋_GB2312" w:eastAsia="仿宋_GB2312" w:hAnsiTheme="majorEastAsia"/>
          <w:sz w:val="32"/>
          <w:szCs w:val="32"/>
        </w:rPr>
      </w:pPr>
      <w:r w:rsidRPr="00BD59D8">
        <w:rPr>
          <w:rFonts w:ascii="仿宋_GB2312" w:eastAsia="仿宋_GB2312" w:hAnsiTheme="majorEastAsia" w:hint="eastAsia"/>
          <w:b/>
          <w:sz w:val="28"/>
          <w:szCs w:val="28"/>
        </w:rPr>
        <w:t>历年投诉举报量同比情况表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417"/>
        <w:gridCol w:w="1418"/>
        <w:gridCol w:w="1184"/>
      </w:tblGrid>
      <w:tr w:rsidR="00BD59D8" w:rsidTr="00BD5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BD59D8" w:rsidRPr="00BD59D8" w:rsidRDefault="00BD59D8" w:rsidP="00550A6B">
            <w:pPr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年度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2018年</w:t>
            </w:r>
          </w:p>
        </w:tc>
        <w:tc>
          <w:tcPr>
            <w:tcW w:w="1276" w:type="dxa"/>
          </w:tcPr>
          <w:p w:rsidR="00BD59D8" w:rsidRPr="00BD59D8" w:rsidRDefault="00BD59D8" w:rsidP="005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2019年</w:t>
            </w:r>
          </w:p>
        </w:tc>
        <w:tc>
          <w:tcPr>
            <w:tcW w:w="1417" w:type="dxa"/>
          </w:tcPr>
          <w:p w:rsidR="00BD59D8" w:rsidRPr="00BD59D8" w:rsidRDefault="00BD59D8" w:rsidP="005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2020年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2021年</w:t>
            </w:r>
          </w:p>
        </w:tc>
        <w:tc>
          <w:tcPr>
            <w:tcW w:w="1184" w:type="dxa"/>
          </w:tcPr>
          <w:p w:rsidR="00BD59D8" w:rsidRPr="00BD59D8" w:rsidRDefault="00BD59D8" w:rsidP="005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2022年</w:t>
            </w:r>
          </w:p>
        </w:tc>
      </w:tr>
      <w:tr w:rsidR="00BD59D8" w:rsidTr="00BD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D59D8" w:rsidRPr="00BD59D8" w:rsidRDefault="00BD59D8" w:rsidP="00550A6B">
            <w:pPr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 w:rsidRPr="00BD59D8"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投诉举报量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130456</w:t>
            </w:r>
          </w:p>
        </w:tc>
        <w:tc>
          <w:tcPr>
            <w:tcW w:w="1276" w:type="dxa"/>
          </w:tcPr>
          <w:p w:rsidR="00BD59D8" w:rsidRPr="00BD59D8" w:rsidRDefault="00BD59D8" w:rsidP="0055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144371</w:t>
            </w:r>
          </w:p>
        </w:tc>
        <w:tc>
          <w:tcPr>
            <w:tcW w:w="1417" w:type="dxa"/>
          </w:tcPr>
          <w:p w:rsidR="00BD59D8" w:rsidRPr="00BD59D8" w:rsidRDefault="00BD59D8" w:rsidP="0055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173728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240073</w:t>
            </w:r>
          </w:p>
        </w:tc>
        <w:tc>
          <w:tcPr>
            <w:tcW w:w="1184" w:type="dxa"/>
          </w:tcPr>
          <w:p w:rsidR="00BD59D8" w:rsidRPr="00BD59D8" w:rsidRDefault="00BD59D8" w:rsidP="00550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389250</w:t>
            </w:r>
          </w:p>
        </w:tc>
      </w:tr>
      <w:tr w:rsidR="00BD59D8" w:rsidTr="00BD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D59D8" w:rsidRPr="00BD59D8" w:rsidRDefault="00BD59D8" w:rsidP="00550A6B">
            <w:pPr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lastRenderedPageBreak/>
              <w:t>同比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23.69%</w:t>
            </w:r>
          </w:p>
        </w:tc>
        <w:tc>
          <w:tcPr>
            <w:tcW w:w="1276" w:type="dxa"/>
          </w:tcPr>
          <w:p w:rsidR="00BD59D8" w:rsidRPr="00BD59D8" w:rsidRDefault="00BD59D8" w:rsidP="00550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10.67%</w:t>
            </w:r>
          </w:p>
        </w:tc>
        <w:tc>
          <w:tcPr>
            <w:tcW w:w="1417" w:type="dxa"/>
          </w:tcPr>
          <w:p w:rsidR="00BD59D8" w:rsidRPr="00BD59D8" w:rsidRDefault="00BD59D8" w:rsidP="00550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20.33%</w:t>
            </w:r>
          </w:p>
        </w:tc>
        <w:tc>
          <w:tcPr>
            <w:tcW w:w="1418" w:type="dxa"/>
          </w:tcPr>
          <w:p w:rsidR="00BD59D8" w:rsidRPr="00BD59D8" w:rsidRDefault="00BD59D8" w:rsidP="00550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38.19%</w:t>
            </w:r>
          </w:p>
        </w:tc>
        <w:tc>
          <w:tcPr>
            <w:tcW w:w="1184" w:type="dxa"/>
          </w:tcPr>
          <w:p w:rsidR="00BD59D8" w:rsidRPr="00BD59D8" w:rsidRDefault="00BD59D8" w:rsidP="00550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0"/>
                <w:szCs w:val="30"/>
              </w:rPr>
              <w:t>62.14%</w:t>
            </w:r>
          </w:p>
        </w:tc>
      </w:tr>
    </w:tbl>
    <w:p w:rsidR="00BD59D8" w:rsidRDefault="00BD59D8" w:rsidP="00550A6B">
      <w:pPr>
        <w:rPr>
          <w:rFonts w:ascii="仿宋_GB2312" w:eastAsia="仿宋_GB2312" w:hAnsiTheme="majorEastAsia" w:cs="宋体"/>
          <w:kern w:val="0"/>
          <w:sz w:val="32"/>
          <w:szCs w:val="32"/>
        </w:rPr>
      </w:pPr>
      <w:r>
        <w:rPr>
          <w:rFonts w:ascii="仿宋_GB2312" w:eastAsia="仿宋_GB2312" w:hAnsiTheme="majorEastAsia" w:cs="宋体"/>
          <w:noProof/>
          <w:kern w:val="0"/>
          <w:sz w:val="32"/>
          <w:szCs w:val="32"/>
        </w:rPr>
        <w:drawing>
          <wp:inline distT="0" distB="0" distL="0" distR="0">
            <wp:extent cx="5356860" cy="1569720"/>
            <wp:effectExtent l="0" t="0" r="15240" b="11430"/>
            <wp:docPr id="44" name="图表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2C85" w:rsidRPr="00C3744C" w:rsidRDefault="00C3744C" w:rsidP="0068613A">
      <w:pPr>
        <w:ind w:firstLine="648"/>
        <w:rPr>
          <w:rFonts w:ascii="黑体" w:eastAsia="黑体" w:hAnsi="黑体" w:cs="宋体"/>
          <w:b/>
          <w:kern w:val="0"/>
          <w:sz w:val="32"/>
          <w:szCs w:val="32"/>
        </w:rPr>
      </w:pPr>
      <w:r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三、</w:t>
      </w:r>
      <w:proofErr w:type="gramStart"/>
      <w:r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网购月度</w:t>
      </w:r>
      <w:proofErr w:type="gramEnd"/>
      <w:r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情况</w:t>
      </w:r>
    </w:p>
    <w:p w:rsidR="00F42C85" w:rsidRDefault="00F42C85" w:rsidP="00F42C85">
      <w:pPr>
        <w:widowControl/>
        <w:spacing w:line="560" w:lineRule="exact"/>
        <w:ind w:firstLine="648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上半年1-6月</w:t>
      </w:r>
      <w:proofErr w:type="gramStart"/>
      <w:r w:rsidRPr="00F42C85">
        <w:rPr>
          <w:rFonts w:ascii="仿宋_GB2312" w:eastAsia="仿宋_GB2312" w:hAnsiTheme="majorEastAsia" w:hint="eastAsia"/>
          <w:sz w:val="32"/>
          <w:szCs w:val="32"/>
        </w:rPr>
        <w:t>网购投诉</w:t>
      </w:r>
      <w:proofErr w:type="gramEnd"/>
      <w:r w:rsidRPr="00F42C85">
        <w:rPr>
          <w:rFonts w:ascii="仿宋_GB2312" w:eastAsia="仿宋_GB2312" w:hAnsiTheme="majorEastAsia" w:hint="eastAsia"/>
          <w:sz w:val="32"/>
          <w:szCs w:val="32"/>
        </w:rPr>
        <w:t>举报量分别为</w:t>
      </w:r>
      <w:r>
        <w:rPr>
          <w:rFonts w:ascii="仿宋_GB2312" w:eastAsia="仿宋_GB2312" w:hAnsiTheme="majorEastAsia" w:hint="eastAsia"/>
          <w:sz w:val="32"/>
          <w:szCs w:val="32"/>
        </w:rPr>
        <w:t>74676</w:t>
      </w:r>
      <w:r w:rsidRPr="00F42C85">
        <w:rPr>
          <w:rFonts w:ascii="仿宋_GB2312" w:eastAsia="仿宋_GB2312" w:hAnsiTheme="majorEastAsia" w:hint="eastAsia"/>
          <w:sz w:val="32"/>
          <w:szCs w:val="32"/>
        </w:rPr>
        <w:t>件、</w:t>
      </w:r>
      <w:r>
        <w:rPr>
          <w:rFonts w:ascii="仿宋_GB2312" w:eastAsia="仿宋_GB2312" w:hAnsiTheme="majorEastAsia" w:hint="eastAsia"/>
          <w:sz w:val="32"/>
          <w:szCs w:val="32"/>
        </w:rPr>
        <w:t>48655</w:t>
      </w:r>
      <w:r w:rsidRPr="00F42C85">
        <w:rPr>
          <w:rFonts w:ascii="仿宋_GB2312" w:eastAsia="仿宋_GB2312" w:hAnsiTheme="majorEastAsia" w:hint="eastAsia"/>
          <w:sz w:val="32"/>
          <w:szCs w:val="32"/>
        </w:rPr>
        <w:t>件、</w:t>
      </w:r>
      <w:r>
        <w:rPr>
          <w:rFonts w:ascii="仿宋_GB2312" w:eastAsia="仿宋_GB2312" w:hAnsiTheme="majorEastAsia" w:hint="eastAsia"/>
          <w:sz w:val="32"/>
          <w:szCs w:val="32"/>
        </w:rPr>
        <w:t>59264</w:t>
      </w:r>
      <w:r w:rsidRPr="00F42C85">
        <w:rPr>
          <w:rFonts w:ascii="仿宋_GB2312" w:eastAsia="仿宋_GB2312" w:hAnsiTheme="majorEastAsia" w:hint="eastAsia"/>
          <w:sz w:val="32"/>
          <w:szCs w:val="32"/>
        </w:rPr>
        <w:t>件、</w:t>
      </w:r>
      <w:r>
        <w:rPr>
          <w:rFonts w:ascii="仿宋_GB2312" w:eastAsia="仿宋_GB2312" w:hAnsiTheme="majorEastAsia" w:hint="eastAsia"/>
          <w:sz w:val="32"/>
          <w:szCs w:val="32"/>
        </w:rPr>
        <w:t>62740</w:t>
      </w:r>
      <w:r w:rsidRPr="00F42C85">
        <w:rPr>
          <w:rFonts w:ascii="仿宋_GB2312" w:eastAsia="仿宋_GB2312" w:hAnsiTheme="majorEastAsia" w:hint="eastAsia"/>
          <w:sz w:val="32"/>
          <w:szCs w:val="32"/>
        </w:rPr>
        <w:t>件、</w:t>
      </w:r>
      <w:r>
        <w:rPr>
          <w:rFonts w:ascii="仿宋_GB2312" w:eastAsia="仿宋_GB2312" w:hAnsiTheme="majorEastAsia" w:hint="eastAsia"/>
          <w:sz w:val="32"/>
          <w:szCs w:val="32"/>
        </w:rPr>
        <w:t>61344</w:t>
      </w:r>
      <w:r w:rsidRPr="00F42C85">
        <w:rPr>
          <w:rFonts w:ascii="仿宋_GB2312" w:eastAsia="仿宋_GB2312" w:hAnsiTheme="majorEastAsia" w:hint="eastAsia"/>
          <w:sz w:val="32"/>
          <w:szCs w:val="32"/>
        </w:rPr>
        <w:t>件</w:t>
      </w:r>
      <w:r w:rsidR="00D5336D">
        <w:rPr>
          <w:rFonts w:ascii="仿宋_GB2312" w:eastAsia="仿宋_GB2312" w:hAnsiTheme="majorEastAsia" w:hint="eastAsia"/>
          <w:sz w:val="32"/>
          <w:szCs w:val="32"/>
        </w:rPr>
        <w:t>、82601</w:t>
      </w:r>
      <w:r w:rsidRPr="00F42C85">
        <w:rPr>
          <w:rFonts w:ascii="仿宋_GB2312" w:eastAsia="仿宋_GB2312" w:hAnsiTheme="majorEastAsia" w:hint="eastAsia"/>
          <w:sz w:val="32"/>
          <w:szCs w:val="32"/>
        </w:rPr>
        <w:t>。</w:t>
      </w:r>
      <w:bookmarkStart w:id="0" w:name="_GoBack"/>
      <w:bookmarkEnd w:id="0"/>
    </w:p>
    <w:p w:rsidR="00D5336D" w:rsidRPr="00D5336D" w:rsidRDefault="00D5336D" w:rsidP="00D5336D">
      <w:r>
        <w:rPr>
          <w:rFonts w:hint="eastAsia"/>
          <w:noProof/>
        </w:rPr>
        <w:drawing>
          <wp:inline distT="0" distB="0" distL="0" distR="0" wp14:anchorId="44B70BD3" wp14:editId="3D4D63DC">
            <wp:extent cx="5273040" cy="2895600"/>
            <wp:effectExtent l="0" t="0" r="22860" b="19050"/>
            <wp:docPr id="48" name="图表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13A" w:rsidRPr="00C3744C" w:rsidRDefault="00C3744C" w:rsidP="00694E27">
      <w:pPr>
        <w:ind w:firstLineChars="300" w:firstLine="964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四、</w:t>
      </w:r>
      <w:proofErr w:type="gramStart"/>
      <w:r w:rsidR="0068613A"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网购投诉</w:t>
      </w:r>
      <w:proofErr w:type="gramEnd"/>
      <w:r w:rsidR="0068613A"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举报热点情况</w:t>
      </w:r>
    </w:p>
    <w:p w:rsidR="0068613A" w:rsidRPr="0068613A" w:rsidRDefault="0068613A" w:rsidP="00EE3CFB">
      <w:pPr>
        <w:widowControl/>
        <w:spacing w:line="560" w:lineRule="exact"/>
        <w:ind w:firstLineChars="250" w:firstLine="803"/>
        <w:rPr>
          <w:rFonts w:ascii="仿宋_GB2312" w:eastAsia="仿宋_GB2312" w:hAnsiTheme="majorEastAsia"/>
          <w:sz w:val="32"/>
          <w:szCs w:val="32"/>
        </w:rPr>
      </w:pPr>
      <w:r w:rsidRPr="00EE3CFB">
        <w:rPr>
          <w:rFonts w:ascii="仿宋_GB2312" w:eastAsia="仿宋_GB2312" w:hAnsiTheme="majorEastAsia" w:hint="eastAsia"/>
          <w:b/>
          <w:sz w:val="32"/>
          <w:szCs w:val="32"/>
        </w:rPr>
        <w:t>1.从商品类客体类别看：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上半年共</w:t>
      </w:r>
      <w:proofErr w:type="gramStart"/>
      <w:r w:rsidRPr="0068613A">
        <w:rPr>
          <w:rFonts w:ascii="仿宋_GB2312" w:eastAsia="仿宋_GB2312" w:hAnsiTheme="majorEastAsia" w:hint="eastAsia"/>
          <w:sz w:val="32"/>
          <w:szCs w:val="32"/>
        </w:rPr>
        <w:t>接收网购商品</w:t>
      </w:r>
      <w:proofErr w:type="gramEnd"/>
      <w:r w:rsidRPr="0068613A">
        <w:rPr>
          <w:rFonts w:ascii="仿宋_GB2312" w:eastAsia="仿宋_GB2312" w:hAnsiTheme="majorEastAsia" w:hint="eastAsia"/>
          <w:sz w:val="32"/>
          <w:szCs w:val="32"/>
        </w:rPr>
        <w:t>类投诉举报</w:t>
      </w:r>
      <w:r w:rsidR="004A7CE7">
        <w:rPr>
          <w:rFonts w:ascii="仿宋_GB2312" w:eastAsia="仿宋_GB2312" w:hAnsiTheme="majorEastAsia" w:hint="eastAsia"/>
          <w:sz w:val="32"/>
          <w:szCs w:val="32"/>
        </w:rPr>
        <w:t>311307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件，占比</w:t>
      </w:r>
      <w:r w:rsidR="004A7CE7">
        <w:rPr>
          <w:rFonts w:ascii="仿宋_GB2312" w:eastAsia="仿宋_GB2312" w:hAnsiTheme="majorEastAsia" w:hint="eastAsia"/>
          <w:sz w:val="32"/>
          <w:szCs w:val="32"/>
        </w:rPr>
        <w:t>79.98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%。排名前十的分别为服装鞋帽</w:t>
      </w:r>
      <w:r w:rsidR="004A7CE7">
        <w:rPr>
          <w:rFonts w:ascii="仿宋_GB2312" w:eastAsia="仿宋_GB2312" w:hAnsiTheme="majorEastAsia" w:hint="eastAsia"/>
          <w:sz w:val="32"/>
          <w:szCs w:val="32"/>
        </w:rPr>
        <w:t>53604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件、一般食品</w:t>
      </w:r>
      <w:r w:rsidR="004A7CE7">
        <w:rPr>
          <w:rFonts w:ascii="仿宋_GB2312" w:eastAsia="仿宋_GB2312" w:hAnsiTheme="majorEastAsia" w:hint="eastAsia"/>
          <w:sz w:val="32"/>
          <w:szCs w:val="32"/>
        </w:rPr>
        <w:t>40366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件、家居用品</w:t>
      </w:r>
      <w:r w:rsidR="004A7CE7">
        <w:rPr>
          <w:rFonts w:ascii="仿宋_GB2312" w:eastAsia="仿宋_GB2312" w:hAnsiTheme="majorEastAsia" w:hint="eastAsia"/>
          <w:sz w:val="32"/>
          <w:szCs w:val="32"/>
        </w:rPr>
        <w:t>36015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件、化妆品</w:t>
      </w:r>
      <w:r w:rsidR="004A7CE7">
        <w:rPr>
          <w:rFonts w:ascii="仿宋_GB2312" w:eastAsia="仿宋_GB2312" w:hAnsiTheme="majorEastAsia" w:hint="eastAsia"/>
          <w:sz w:val="32"/>
          <w:szCs w:val="32"/>
        </w:rPr>
        <w:t>20102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件、通讯产品</w:t>
      </w:r>
      <w:r w:rsidR="004A7CE7">
        <w:rPr>
          <w:rFonts w:ascii="仿宋_GB2312" w:eastAsia="仿宋_GB2312" w:hAnsiTheme="majorEastAsia" w:hint="eastAsia"/>
          <w:sz w:val="32"/>
          <w:szCs w:val="32"/>
        </w:rPr>
        <w:t>16207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件、家用电器</w:t>
      </w:r>
      <w:r w:rsidR="004A7CE7">
        <w:rPr>
          <w:rFonts w:ascii="仿宋_GB2312" w:eastAsia="仿宋_GB2312" w:hAnsiTheme="majorEastAsia" w:hint="eastAsia"/>
          <w:sz w:val="32"/>
          <w:szCs w:val="32"/>
        </w:rPr>
        <w:t>15664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件、计算机产品</w:t>
      </w:r>
      <w:r w:rsidR="00C052B3">
        <w:rPr>
          <w:rFonts w:ascii="仿宋_GB2312" w:eastAsia="仿宋_GB2312" w:hAnsiTheme="majorEastAsia" w:hint="eastAsia"/>
          <w:sz w:val="32"/>
          <w:szCs w:val="32"/>
        </w:rPr>
        <w:t>12448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件、儿童用品</w:t>
      </w:r>
      <w:r w:rsidR="00C052B3">
        <w:rPr>
          <w:rFonts w:ascii="仿宋_GB2312" w:eastAsia="仿宋_GB2312" w:hAnsiTheme="majorEastAsia" w:hint="eastAsia"/>
          <w:sz w:val="32"/>
          <w:szCs w:val="32"/>
        </w:rPr>
        <w:t>11783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件、卫生用品</w:t>
      </w:r>
      <w:r w:rsidR="00C052B3">
        <w:rPr>
          <w:rFonts w:ascii="仿宋_GB2312" w:eastAsia="仿宋_GB2312" w:hAnsiTheme="majorEastAsia" w:hint="eastAsia"/>
          <w:sz w:val="32"/>
          <w:szCs w:val="32"/>
        </w:rPr>
        <w:t>6577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件、文化运动用品</w:t>
      </w:r>
      <w:r w:rsidR="00C052B3">
        <w:rPr>
          <w:rFonts w:ascii="仿宋_GB2312" w:eastAsia="仿宋_GB2312" w:hAnsiTheme="majorEastAsia" w:hint="eastAsia"/>
          <w:sz w:val="32"/>
          <w:szCs w:val="32"/>
        </w:rPr>
        <w:t>5983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件。</w:t>
      </w:r>
    </w:p>
    <w:p w:rsidR="0068613A" w:rsidRPr="0068613A" w:rsidRDefault="0068613A" w:rsidP="0068613A">
      <w:pPr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68613A">
        <w:rPr>
          <w:rFonts w:ascii="仿宋_GB2312" w:eastAsia="仿宋_GB2312" w:hAnsiTheme="majorEastAsia" w:cs="宋体"/>
          <w:noProof/>
          <w:kern w:val="0"/>
          <w:sz w:val="32"/>
          <w:szCs w:val="32"/>
        </w:rPr>
        <w:lastRenderedPageBreak/>
        <w:drawing>
          <wp:inline distT="0" distB="0" distL="0" distR="0" wp14:anchorId="45972D4F" wp14:editId="53B21BAC">
            <wp:extent cx="5273040" cy="3779520"/>
            <wp:effectExtent l="0" t="0" r="22860" b="11430"/>
            <wp:docPr id="45" name="图表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613A" w:rsidRPr="0068613A" w:rsidRDefault="0068613A" w:rsidP="00076554">
      <w:pPr>
        <w:pStyle w:val="a6"/>
        <w:spacing w:before="0" w:beforeAutospacing="0" w:after="0" w:afterAutospacing="0" w:line="560" w:lineRule="exact"/>
        <w:ind w:firstLineChars="250" w:firstLine="803"/>
        <w:jc w:val="both"/>
        <w:rPr>
          <w:rFonts w:ascii="仿宋_GB2312" w:eastAsia="仿宋_GB2312" w:hAnsiTheme="majorEastAsia" w:cstheme="minorBidi"/>
          <w:kern w:val="2"/>
          <w:sz w:val="32"/>
          <w:szCs w:val="32"/>
        </w:rPr>
      </w:pPr>
      <w:r w:rsidRPr="00076554">
        <w:rPr>
          <w:rFonts w:ascii="仿宋_GB2312" w:eastAsia="仿宋_GB2312" w:hAnsiTheme="majorEastAsia" w:hint="eastAsia"/>
          <w:b/>
          <w:sz w:val="32"/>
          <w:szCs w:val="32"/>
        </w:rPr>
        <w:t>2.从服务类客体类别看，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上半年共接收</w:t>
      </w:r>
      <w:proofErr w:type="gramStart"/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网购服务</w:t>
      </w:r>
      <w:proofErr w:type="gramEnd"/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类投诉举报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77943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件，占比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20.02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%。排名前十的分别为销售服务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20930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件、互联网服务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13139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件、餐饮住宿服务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4764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件、交通运输服务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4272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件、卫生保健和社会福利</w:t>
      </w:r>
      <w:r w:rsidR="00C052B3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4035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件、教育培训服务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3604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件、金融服务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3005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件、邮政服务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2423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件、旅游服务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1972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件、中介服务</w:t>
      </w:r>
      <w:r w:rsidR="00F3296C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1849</w:t>
      </w:r>
      <w:r w:rsidRPr="0068613A">
        <w:rPr>
          <w:rFonts w:ascii="仿宋_GB2312" w:eastAsia="仿宋_GB2312" w:hAnsiTheme="majorEastAsia" w:cstheme="minorBidi" w:hint="eastAsia"/>
          <w:kern w:val="2"/>
          <w:sz w:val="32"/>
          <w:szCs w:val="32"/>
        </w:rPr>
        <w:t>件。</w:t>
      </w:r>
    </w:p>
    <w:p w:rsidR="0068613A" w:rsidRPr="0068613A" w:rsidRDefault="0068613A" w:rsidP="0068613A">
      <w:pPr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68613A">
        <w:rPr>
          <w:rFonts w:ascii="仿宋_GB2312" w:eastAsia="仿宋_GB2312" w:hAnsiTheme="majorEastAsia" w:cs="宋体"/>
          <w:noProof/>
          <w:kern w:val="0"/>
          <w:sz w:val="32"/>
          <w:szCs w:val="32"/>
        </w:rPr>
        <w:lastRenderedPageBreak/>
        <w:drawing>
          <wp:inline distT="0" distB="0" distL="0" distR="0" wp14:anchorId="37711575" wp14:editId="08510059">
            <wp:extent cx="5274310" cy="3582746"/>
            <wp:effectExtent l="0" t="0" r="21590" b="17780"/>
            <wp:docPr id="46" name="图表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13A" w:rsidRPr="00C3744C" w:rsidRDefault="00C3744C" w:rsidP="0068613A">
      <w:pPr>
        <w:ind w:firstLine="648"/>
        <w:rPr>
          <w:rFonts w:ascii="黑体" w:eastAsia="黑体" w:hAnsi="黑体" w:cs="宋体"/>
          <w:b/>
          <w:kern w:val="0"/>
          <w:sz w:val="32"/>
          <w:szCs w:val="32"/>
        </w:rPr>
      </w:pPr>
      <w:r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五、</w:t>
      </w:r>
      <w:proofErr w:type="gramStart"/>
      <w:r w:rsidR="0068613A"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网购投诉</w:t>
      </w:r>
      <w:proofErr w:type="gramEnd"/>
      <w:r w:rsidR="0068613A" w:rsidRPr="00C3744C">
        <w:rPr>
          <w:rFonts w:ascii="黑体" w:eastAsia="黑体" w:hAnsi="黑体" w:cs="宋体" w:hint="eastAsia"/>
          <w:b/>
          <w:kern w:val="0"/>
          <w:sz w:val="32"/>
          <w:szCs w:val="32"/>
        </w:rPr>
        <w:t>举报问题情况</w:t>
      </w:r>
    </w:p>
    <w:p w:rsidR="0068613A" w:rsidRDefault="0068613A" w:rsidP="0068613A">
      <w:pPr>
        <w:ind w:firstLine="648"/>
        <w:rPr>
          <w:rFonts w:ascii="仿宋_GB2312" w:eastAsia="仿宋_GB2312" w:hAnsiTheme="majorEastAsia"/>
          <w:sz w:val="32"/>
          <w:szCs w:val="32"/>
        </w:rPr>
      </w:pPr>
      <w:r w:rsidRPr="00F42C85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1.</w:t>
      </w:r>
      <w:r w:rsidRPr="00F42C85">
        <w:rPr>
          <w:rFonts w:ascii="仿宋_GB2312" w:eastAsia="仿宋_GB2312" w:hint="eastAsia"/>
          <w:b/>
          <w:color w:val="943634" w:themeColor="accent2" w:themeShade="BF"/>
          <w:kern w:val="24"/>
          <w:sz w:val="32"/>
          <w:szCs w:val="32"/>
        </w:rPr>
        <w:t xml:space="preserve"> </w:t>
      </w:r>
      <w:r w:rsidRPr="00F42C85">
        <w:rPr>
          <w:rFonts w:ascii="仿宋_GB2312" w:eastAsia="仿宋_GB2312" w:hAnsiTheme="majorEastAsia" w:hint="eastAsia"/>
          <w:b/>
          <w:sz w:val="32"/>
          <w:szCs w:val="32"/>
        </w:rPr>
        <w:t>从</w:t>
      </w:r>
      <w:proofErr w:type="gramStart"/>
      <w:r w:rsidRPr="00F42C85">
        <w:rPr>
          <w:rFonts w:ascii="仿宋_GB2312" w:eastAsia="仿宋_GB2312" w:hAnsiTheme="majorEastAsia" w:hint="eastAsia"/>
          <w:b/>
          <w:sz w:val="32"/>
          <w:szCs w:val="32"/>
        </w:rPr>
        <w:t>网购投诉</w:t>
      </w:r>
      <w:proofErr w:type="gramEnd"/>
      <w:r w:rsidRPr="00F42C85">
        <w:rPr>
          <w:rFonts w:ascii="仿宋_GB2312" w:eastAsia="仿宋_GB2312" w:hAnsiTheme="majorEastAsia" w:hint="eastAsia"/>
          <w:b/>
          <w:sz w:val="32"/>
          <w:szCs w:val="32"/>
        </w:rPr>
        <w:t>问题看</w:t>
      </w:r>
      <w:r w:rsidRPr="0068613A">
        <w:rPr>
          <w:rFonts w:ascii="仿宋_GB2312" w:eastAsia="仿宋_GB2312" w:hAnsiTheme="majorEastAsia" w:hint="eastAsia"/>
          <w:sz w:val="32"/>
          <w:szCs w:val="32"/>
        </w:rPr>
        <w:t>，排名前十的问题分别为：售后服务</w:t>
      </w:r>
      <w:r w:rsidR="004F34E8">
        <w:rPr>
          <w:rFonts w:ascii="仿宋_GB2312" w:eastAsia="仿宋_GB2312" w:hAnsiTheme="majorEastAsia" w:hint="eastAsia"/>
          <w:sz w:val="32"/>
          <w:szCs w:val="32"/>
        </w:rPr>
        <w:t>103731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件、质量</w:t>
      </w:r>
      <w:r w:rsidR="004F34E8">
        <w:rPr>
          <w:rFonts w:ascii="仿宋_GB2312" w:eastAsia="仿宋_GB2312" w:hAnsiTheme="majorEastAsia" w:hint="eastAsia"/>
          <w:sz w:val="32"/>
          <w:szCs w:val="32"/>
        </w:rPr>
        <w:t>75328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件、合同</w:t>
      </w:r>
      <w:r w:rsidR="004F34E8">
        <w:rPr>
          <w:rFonts w:ascii="仿宋_GB2312" w:eastAsia="仿宋_GB2312" w:hAnsiTheme="majorEastAsia" w:hint="eastAsia"/>
          <w:sz w:val="32"/>
          <w:szCs w:val="32"/>
        </w:rPr>
        <w:t>16579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件；</w:t>
      </w:r>
      <w:r w:rsidR="004F34E8">
        <w:rPr>
          <w:rFonts w:ascii="仿宋_GB2312" w:eastAsia="仿宋_GB2312" w:hAnsiTheme="majorEastAsia" w:hint="eastAsia"/>
          <w:sz w:val="32"/>
          <w:szCs w:val="32"/>
        </w:rPr>
        <w:t>广告11523件、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不正当竞争</w:t>
      </w:r>
      <w:r w:rsidR="004F34E8">
        <w:rPr>
          <w:rFonts w:ascii="仿宋_GB2312" w:eastAsia="仿宋_GB2312" w:hAnsiTheme="majorEastAsia" w:hint="eastAsia"/>
          <w:sz w:val="32"/>
          <w:szCs w:val="32"/>
        </w:rPr>
        <w:t>10850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</w:t>
      </w:r>
      <w:r w:rsidR="004F34E8" w:rsidRPr="0068613A">
        <w:rPr>
          <w:rFonts w:ascii="仿宋_GB2312" w:eastAsia="仿宋_GB2312" w:hAnsiTheme="majorEastAsia" w:hint="eastAsia"/>
          <w:sz w:val="32"/>
          <w:szCs w:val="32"/>
        </w:rPr>
        <w:t>人身权利</w:t>
      </w:r>
      <w:r w:rsidR="004F34E8">
        <w:rPr>
          <w:rFonts w:ascii="仿宋_GB2312" w:eastAsia="仿宋_GB2312" w:hAnsiTheme="majorEastAsia" w:hint="eastAsia"/>
          <w:sz w:val="32"/>
          <w:szCs w:val="32"/>
        </w:rPr>
        <w:t>9569</w:t>
      </w:r>
      <w:r w:rsidR="004F34E8" w:rsidRPr="0068613A">
        <w:rPr>
          <w:rFonts w:ascii="仿宋_GB2312" w:eastAsia="仿宋_GB2312" w:hAnsiTheme="majorEastAsia" w:hint="eastAsia"/>
          <w:sz w:val="32"/>
          <w:szCs w:val="32"/>
        </w:rPr>
        <w:t>件、食品安全</w:t>
      </w:r>
      <w:r w:rsidR="004F34E8">
        <w:rPr>
          <w:rFonts w:ascii="仿宋_GB2312" w:eastAsia="仿宋_GB2312" w:hAnsiTheme="majorEastAsia" w:hint="eastAsia"/>
          <w:sz w:val="32"/>
          <w:szCs w:val="32"/>
        </w:rPr>
        <w:t>8321</w:t>
      </w:r>
      <w:r w:rsidR="004F34E8" w:rsidRPr="0068613A">
        <w:rPr>
          <w:rFonts w:ascii="仿宋_GB2312" w:eastAsia="仿宋_GB2312" w:hAnsiTheme="majorEastAsia" w:hint="eastAsia"/>
          <w:sz w:val="32"/>
          <w:szCs w:val="32"/>
        </w:rPr>
        <w:t>件、安全</w:t>
      </w:r>
      <w:r w:rsidR="004F34E8">
        <w:rPr>
          <w:rFonts w:ascii="仿宋_GB2312" w:eastAsia="仿宋_GB2312" w:hAnsiTheme="majorEastAsia" w:hint="eastAsia"/>
          <w:sz w:val="32"/>
          <w:szCs w:val="32"/>
        </w:rPr>
        <w:t>4780</w:t>
      </w:r>
      <w:r w:rsidR="004F34E8" w:rsidRPr="0068613A">
        <w:rPr>
          <w:rFonts w:ascii="仿宋_GB2312" w:eastAsia="仿宋_GB2312" w:hAnsiTheme="majorEastAsia" w:hint="eastAsia"/>
          <w:sz w:val="32"/>
          <w:szCs w:val="32"/>
        </w:rPr>
        <w:t>件、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价格投诉</w:t>
      </w:r>
      <w:r w:rsidR="004F34E8">
        <w:rPr>
          <w:rFonts w:ascii="仿宋_GB2312" w:eastAsia="仿宋_GB2312" w:hAnsiTheme="majorEastAsia" w:hint="eastAsia"/>
          <w:sz w:val="32"/>
          <w:szCs w:val="32"/>
        </w:rPr>
        <w:t>2743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件、计量</w:t>
      </w:r>
      <w:r w:rsidR="004F34E8">
        <w:rPr>
          <w:rFonts w:ascii="仿宋_GB2312" w:eastAsia="仿宋_GB2312" w:hAnsiTheme="majorEastAsia" w:hint="eastAsia"/>
          <w:sz w:val="32"/>
          <w:szCs w:val="32"/>
        </w:rPr>
        <w:t>2258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件。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7"/>
        <w:gridCol w:w="1559"/>
        <w:gridCol w:w="1323"/>
      </w:tblGrid>
      <w:tr w:rsidR="008F313B" w:rsidTr="004F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投诉问题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投诉量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去年同期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占比</w:t>
            </w:r>
          </w:p>
        </w:tc>
      </w:tr>
      <w:tr w:rsidR="008F313B" w:rsidTr="004F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售后服务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103731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74065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32.81%</w:t>
            </w:r>
          </w:p>
        </w:tc>
      </w:tr>
      <w:tr w:rsidR="008F313B" w:rsidTr="004F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质量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75328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51041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23.83%</w:t>
            </w:r>
          </w:p>
        </w:tc>
      </w:tr>
      <w:tr w:rsidR="008F313B" w:rsidTr="004F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合同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16579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8896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5.24%</w:t>
            </w:r>
          </w:p>
        </w:tc>
      </w:tr>
      <w:tr w:rsidR="008F313B" w:rsidTr="004F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广告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11523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9608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3.64%</w:t>
            </w:r>
          </w:p>
        </w:tc>
      </w:tr>
      <w:tr w:rsidR="008F313B" w:rsidTr="004F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不正当竞争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10850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8400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3.43%</w:t>
            </w:r>
          </w:p>
        </w:tc>
      </w:tr>
      <w:tr w:rsidR="008F313B" w:rsidTr="004F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人身权利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9569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4081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3.03%</w:t>
            </w:r>
          </w:p>
        </w:tc>
      </w:tr>
      <w:tr w:rsidR="008F313B" w:rsidTr="004F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食品安全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8321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4284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2.63%</w:t>
            </w:r>
          </w:p>
        </w:tc>
      </w:tr>
      <w:tr w:rsidR="008F313B" w:rsidTr="004F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安全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4780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2760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1.51%</w:t>
            </w:r>
          </w:p>
        </w:tc>
      </w:tr>
      <w:tr w:rsidR="008F313B" w:rsidTr="004F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8F313B" w:rsidRDefault="008F313B" w:rsidP="0067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价格投诉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2743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1819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0.87%</w:t>
            </w:r>
          </w:p>
        </w:tc>
      </w:tr>
      <w:tr w:rsidR="008F313B" w:rsidTr="004F3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F313B" w:rsidRDefault="008F313B" w:rsidP="00076554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计量</w:t>
            </w:r>
          </w:p>
        </w:tc>
        <w:tc>
          <w:tcPr>
            <w:tcW w:w="1417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2258</w:t>
            </w:r>
          </w:p>
        </w:tc>
        <w:tc>
          <w:tcPr>
            <w:tcW w:w="1559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1377</w:t>
            </w:r>
          </w:p>
        </w:tc>
        <w:tc>
          <w:tcPr>
            <w:tcW w:w="1323" w:type="dxa"/>
          </w:tcPr>
          <w:p w:rsidR="008F313B" w:rsidRDefault="008F313B" w:rsidP="00076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0.71%</w:t>
            </w:r>
          </w:p>
        </w:tc>
      </w:tr>
    </w:tbl>
    <w:p w:rsidR="0068613A" w:rsidRDefault="0068613A" w:rsidP="004F34E8">
      <w:pPr>
        <w:ind w:firstLineChars="200" w:firstLine="643"/>
        <w:rPr>
          <w:rFonts w:ascii="仿宋_GB2312" w:eastAsia="仿宋_GB2312" w:hAnsiTheme="majorEastAsia"/>
          <w:sz w:val="32"/>
          <w:szCs w:val="32"/>
        </w:rPr>
      </w:pPr>
      <w:r w:rsidRPr="004F34E8">
        <w:rPr>
          <w:rFonts w:ascii="仿宋_GB2312" w:eastAsia="仿宋_GB2312" w:hAnsiTheme="majorEastAsia" w:hint="eastAsia"/>
          <w:b/>
          <w:sz w:val="32"/>
          <w:szCs w:val="32"/>
        </w:rPr>
        <w:t>2.</w:t>
      </w:r>
      <w:proofErr w:type="gramStart"/>
      <w:r w:rsidRPr="004F34E8">
        <w:rPr>
          <w:rFonts w:ascii="仿宋_GB2312" w:eastAsia="仿宋_GB2312" w:hAnsiTheme="majorEastAsia" w:hint="eastAsia"/>
          <w:b/>
          <w:sz w:val="32"/>
          <w:szCs w:val="32"/>
        </w:rPr>
        <w:t>从网购举报</w:t>
      </w:r>
      <w:proofErr w:type="gramEnd"/>
      <w:r w:rsidRPr="004F34E8">
        <w:rPr>
          <w:rFonts w:ascii="仿宋_GB2312" w:eastAsia="仿宋_GB2312" w:hAnsiTheme="majorEastAsia" w:hint="eastAsia"/>
          <w:b/>
          <w:sz w:val="32"/>
          <w:szCs w:val="32"/>
        </w:rPr>
        <w:t>问题看，</w:t>
      </w:r>
      <w:r w:rsidRPr="0068613A">
        <w:rPr>
          <w:rFonts w:ascii="仿宋_GB2312" w:eastAsia="仿宋_GB2312" w:hAnsiTheme="majorEastAsia" w:hint="eastAsia"/>
          <w:sz w:val="32"/>
          <w:szCs w:val="32"/>
        </w:rPr>
        <w:t>排名前十的问题分别为：侵害消费者权益行为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23538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件、广告违法行为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20321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件、网络交易违法行为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6183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件、产品质量违法行为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5733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件、不正当竞争行为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4284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件、商标违法行为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1854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件、食品安全违法行为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1658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件、化妆品问题</w:t>
      </w:r>
      <w:r w:rsidR="00F94ABD">
        <w:rPr>
          <w:rFonts w:ascii="仿宋_GB2312" w:eastAsia="仿宋_GB2312" w:hAnsiTheme="majorEastAsia" w:hint="eastAsia"/>
          <w:sz w:val="32"/>
          <w:szCs w:val="32"/>
        </w:rPr>
        <w:t>883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件、违反登记管理行为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731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件、违规收费行为</w:t>
      </w:r>
      <w:r w:rsidR="00F94ABD">
        <w:rPr>
          <w:rFonts w:ascii="仿宋_GB2312" w:eastAsia="仿宋_GB2312" w:hAnsiTheme="majorEastAsia" w:hint="eastAsia"/>
          <w:sz w:val="32"/>
          <w:szCs w:val="32"/>
        </w:rPr>
        <w:t>481</w:t>
      </w:r>
      <w:r w:rsidRPr="0068613A">
        <w:rPr>
          <w:rFonts w:ascii="仿宋_GB2312" w:eastAsia="仿宋_GB2312" w:hAnsiTheme="majorEastAsia" w:hint="eastAsia"/>
          <w:sz w:val="32"/>
          <w:szCs w:val="32"/>
        </w:rPr>
        <w:t>件。</w:t>
      </w:r>
    </w:p>
    <w:tbl>
      <w:tblPr>
        <w:tblStyle w:val="2-1"/>
        <w:tblW w:w="7338" w:type="dxa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134"/>
        <w:gridCol w:w="1276"/>
      </w:tblGrid>
      <w:tr w:rsidR="008F313B" w:rsidTr="008F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举报问题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举报量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去年 同期</w:t>
            </w:r>
          </w:p>
        </w:tc>
        <w:tc>
          <w:tcPr>
            <w:tcW w:w="1276" w:type="dxa"/>
          </w:tcPr>
          <w:p w:rsidR="008F313B" w:rsidRDefault="008F313B" w:rsidP="004F3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占比</w:t>
            </w:r>
          </w:p>
        </w:tc>
      </w:tr>
      <w:tr w:rsidR="008F313B" w:rsidTr="008F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侵害消费者权益行为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23538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18623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32.20%</w:t>
            </w:r>
          </w:p>
        </w:tc>
      </w:tr>
      <w:tr w:rsidR="008F313B" w:rsidTr="008F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广告违法行为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20321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6416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27.80%</w:t>
            </w:r>
          </w:p>
        </w:tc>
      </w:tr>
      <w:tr w:rsidR="008F313B" w:rsidTr="008F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网络交易违法行为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6183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2009 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8.46%</w:t>
            </w:r>
          </w:p>
        </w:tc>
      </w:tr>
      <w:tr w:rsidR="008F313B" w:rsidTr="008F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产品质量违法行为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5733 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6168 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7.84%</w:t>
            </w:r>
          </w:p>
        </w:tc>
      </w:tr>
      <w:tr w:rsidR="008F313B" w:rsidTr="008F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不正当竞争行为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4284 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2637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5.86%</w:t>
            </w:r>
          </w:p>
        </w:tc>
      </w:tr>
      <w:tr w:rsidR="008F313B" w:rsidTr="008F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商标违法行为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1854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402 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2.54%</w:t>
            </w:r>
          </w:p>
        </w:tc>
      </w:tr>
      <w:tr w:rsidR="008F313B" w:rsidTr="008F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食品安全违法行为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1658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908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2.27%</w:t>
            </w:r>
          </w:p>
        </w:tc>
      </w:tr>
      <w:tr w:rsidR="008F313B" w:rsidTr="008F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化妆品问题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883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73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1.21%</w:t>
            </w:r>
          </w:p>
        </w:tc>
      </w:tr>
      <w:tr w:rsidR="008F313B" w:rsidTr="008F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F313B" w:rsidRDefault="008F313B" w:rsidP="004F3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违反登记管理行为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731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397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1.00%</w:t>
            </w:r>
          </w:p>
        </w:tc>
      </w:tr>
      <w:tr w:rsidR="008F313B" w:rsidTr="008F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F313B" w:rsidRDefault="008F313B" w:rsidP="004F34E8">
            <w:pPr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违规收费行为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481 </w:t>
            </w:r>
          </w:p>
        </w:tc>
        <w:tc>
          <w:tcPr>
            <w:tcW w:w="1134" w:type="dxa"/>
          </w:tcPr>
          <w:p w:rsidR="008F313B" w:rsidRDefault="008F313B" w:rsidP="004F3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 xml:space="preserve"> 216</w:t>
            </w:r>
          </w:p>
        </w:tc>
        <w:tc>
          <w:tcPr>
            <w:tcW w:w="1276" w:type="dxa"/>
          </w:tcPr>
          <w:p w:rsidR="008F313B" w:rsidRDefault="008F313B" w:rsidP="00F42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0.66%</w:t>
            </w:r>
          </w:p>
        </w:tc>
      </w:tr>
    </w:tbl>
    <w:p w:rsidR="004F34E8" w:rsidRPr="0068613A" w:rsidRDefault="004F34E8" w:rsidP="004F34E8">
      <w:pPr>
        <w:rPr>
          <w:rFonts w:ascii="仿宋_GB2312" w:eastAsia="仿宋_GB2312" w:hAnsiTheme="majorEastAsia"/>
          <w:sz w:val="32"/>
          <w:szCs w:val="32"/>
        </w:rPr>
      </w:pPr>
    </w:p>
    <w:sectPr w:rsidR="004F34E8" w:rsidRPr="0068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7F" w:rsidRDefault="002B4F7F" w:rsidP="008F2524">
      <w:r>
        <w:separator/>
      </w:r>
    </w:p>
  </w:endnote>
  <w:endnote w:type="continuationSeparator" w:id="0">
    <w:p w:rsidR="002B4F7F" w:rsidRDefault="002B4F7F" w:rsidP="008F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7F" w:rsidRDefault="002B4F7F" w:rsidP="008F2524">
      <w:r>
        <w:separator/>
      </w:r>
    </w:p>
  </w:footnote>
  <w:footnote w:type="continuationSeparator" w:id="0">
    <w:p w:rsidR="002B4F7F" w:rsidRDefault="002B4F7F" w:rsidP="008F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5D"/>
    <w:rsid w:val="00014B9E"/>
    <w:rsid w:val="00047C9C"/>
    <w:rsid w:val="00066081"/>
    <w:rsid w:val="0007381B"/>
    <w:rsid w:val="00074963"/>
    <w:rsid w:val="00076554"/>
    <w:rsid w:val="000A3D55"/>
    <w:rsid w:val="000B0ACA"/>
    <w:rsid w:val="000D3024"/>
    <w:rsid w:val="000D6656"/>
    <w:rsid w:val="000E06F4"/>
    <w:rsid w:val="00120547"/>
    <w:rsid w:val="00142B72"/>
    <w:rsid w:val="001541F8"/>
    <w:rsid w:val="001631C2"/>
    <w:rsid w:val="00170118"/>
    <w:rsid w:val="001702C1"/>
    <w:rsid w:val="0018022D"/>
    <w:rsid w:val="00182619"/>
    <w:rsid w:val="0019514B"/>
    <w:rsid w:val="001A48CE"/>
    <w:rsid w:val="001B3005"/>
    <w:rsid w:val="001C57C7"/>
    <w:rsid w:val="001D3EF3"/>
    <w:rsid w:val="001D773E"/>
    <w:rsid w:val="001F2FFF"/>
    <w:rsid w:val="001F3229"/>
    <w:rsid w:val="001F3A37"/>
    <w:rsid w:val="001F7046"/>
    <w:rsid w:val="00201C0D"/>
    <w:rsid w:val="00221B74"/>
    <w:rsid w:val="002256F0"/>
    <w:rsid w:val="002313C4"/>
    <w:rsid w:val="002413B6"/>
    <w:rsid w:val="002458E8"/>
    <w:rsid w:val="002517F6"/>
    <w:rsid w:val="00274230"/>
    <w:rsid w:val="002853E9"/>
    <w:rsid w:val="002B4F7F"/>
    <w:rsid w:val="002D5178"/>
    <w:rsid w:val="002F7802"/>
    <w:rsid w:val="00337856"/>
    <w:rsid w:val="00356211"/>
    <w:rsid w:val="00373679"/>
    <w:rsid w:val="00382923"/>
    <w:rsid w:val="003C15AF"/>
    <w:rsid w:val="003C47AF"/>
    <w:rsid w:val="003E0CC6"/>
    <w:rsid w:val="003E52A9"/>
    <w:rsid w:val="004172FA"/>
    <w:rsid w:val="004217B9"/>
    <w:rsid w:val="00433FDE"/>
    <w:rsid w:val="00434BA2"/>
    <w:rsid w:val="00456F74"/>
    <w:rsid w:val="00467E19"/>
    <w:rsid w:val="00471A86"/>
    <w:rsid w:val="00473089"/>
    <w:rsid w:val="004935A6"/>
    <w:rsid w:val="0049420B"/>
    <w:rsid w:val="004944C7"/>
    <w:rsid w:val="0049770D"/>
    <w:rsid w:val="004A7CE7"/>
    <w:rsid w:val="004B3F8E"/>
    <w:rsid w:val="004C05F0"/>
    <w:rsid w:val="004C3E6B"/>
    <w:rsid w:val="004F34E8"/>
    <w:rsid w:val="00550A6B"/>
    <w:rsid w:val="00586145"/>
    <w:rsid w:val="005A2191"/>
    <w:rsid w:val="005E1731"/>
    <w:rsid w:val="005F1AC9"/>
    <w:rsid w:val="005F7139"/>
    <w:rsid w:val="0063120B"/>
    <w:rsid w:val="0067789A"/>
    <w:rsid w:val="00680B68"/>
    <w:rsid w:val="00681EF8"/>
    <w:rsid w:val="00682D8A"/>
    <w:rsid w:val="00685A14"/>
    <w:rsid w:val="0068613A"/>
    <w:rsid w:val="00694E27"/>
    <w:rsid w:val="006B10D4"/>
    <w:rsid w:val="006B1D2F"/>
    <w:rsid w:val="00774A85"/>
    <w:rsid w:val="0078541A"/>
    <w:rsid w:val="007D3D1F"/>
    <w:rsid w:val="008334BA"/>
    <w:rsid w:val="008C25BB"/>
    <w:rsid w:val="008E6DBB"/>
    <w:rsid w:val="008E7E60"/>
    <w:rsid w:val="008F2524"/>
    <w:rsid w:val="008F313B"/>
    <w:rsid w:val="008F5501"/>
    <w:rsid w:val="009067DF"/>
    <w:rsid w:val="00932881"/>
    <w:rsid w:val="009549C0"/>
    <w:rsid w:val="00957C59"/>
    <w:rsid w:val="00966A78"/>
    <w:rsid w:val="00987F59"/>
    <w:rsid w:val="009B45EE"/>
    <w:rsid w:val="009C703D"/>
    <w:rsid w:val="009C7872"/>
    <w:rsid w:val="009E359D"/>
    <w:rsid w:val="00A05963"/>
    <w:rsid w:val="00A06654"/>
    <w:rsid w:val="00A239EB"/>
    <w:rsid w:val="00A335B0"/>
    <w:rsid w:val="00A40BFA"/>
    <w:rsid w:val="00A46FF9"/>
    <w:rsid w:val="00A55806"/>
    <w:rsid w:val="00A832B3"/>
    <w:rsid w:val="00A842AC"/>
    <w:rsid w:val="00A85FCD"/>
    <w:rsid w:val="00A957CE"/>
    <w:rsid w:val="00AC37D6"/>
    <w:rsid w:val="00B21247"/>
    <w:rsid w:val="00B74606"/>
    <w:rsid w:val="00B91C24"/>
    <w:rsid w:val="00BC52AC"/>
    <w:rsid w:val="00BD59D8"/>
    <w:rsid w:val="00BF5CB7"/>
    <w:rsid w:val="00C052B3"/>
    <w:rsid w:val="00C06ED7"/>
    <w:rsid w:val="00C2712C"/>
    <w:rsid w:val="00C34D07"/>
    <w:rsid w:val="00C351CA"/>
    <w:rsid w:val="00C3744C"/>
    <w:rsid w:val="00C80B9F"/>
    <w:rsid w:val="00C97F77"/>
    <w:rsid w:val="00CB0725"/>
    <w:rsid w:val="00D03FAF"/>
    <w:rsid w:val="00D235B5"/>
    <w:rsid w:val="00D34B64"/>
    <w:rsid w:val="00D35253"/>
    <w:rsid w:val="00D5336D"/>
    <w:rsid w:val="00D876DE"/>
    <w:rsid w:val="00D93F67"/>
    <w:rsid w:val="00DC2004"/>
    <w:rsid w:val="00E0526F"/>
    <w:rsid w:val="00E26FCC"/>
    <w:rsid w:val="00E3482D"/>
    <w:rsid w:val="00E42F2C"/>
    <w:rsid w:val="00E72F5D"/>
    <w:rsid w:val="00E9569B"/>
    <w:rsid w:val="00ED7BE9"/>
    <w:rsid w:val="00EE3750"/>
    <w:rsid w:val="00EE3CFB"/>
    <w:rsid w:val="00F04233"/>
    <w:rsid w:val="00F07790"/>
    <w:rsid w:val="00F3296C"/>
    <w:rsid w:val="00F42C85"/>
    <w:rsid w:val="00F44839"/>
    <w:rsid w:val="00F74561"/>
    <w:rsid w:val="00F94ABD"/>
    <w:rsid w:val="00FA4BC9"/>
    <w:rsid w:val="00FC356C"/>
    <w:rsid w:val="00FE3BC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A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AC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07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0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1205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qFormat/>
    <w:rsid w:val="00A335B0"/>
    <w:rPr>
      <w:kern w:val="0"/>
      <w:sz w:val="20"/>
      <w:szCs w:val="20"/>
    </w:rPr>
    <w:tblPr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5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A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AC9"/>
    <w:rPr>
      <w:sz w:val="18"/>
      <w:szCs w:val="18"/>
    </w:rPr>
  </w:style>
  <w:style w:type="paragraph" w:styleId="a6">
    <w:name w:val="Normal (Web)"/>
    <w:basedOn w:val="a"/>
    <w:uiPriority w:val="99"/>
    <w:unhideWhenUsed/>
    <w:rsid w:val="00F07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0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1205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EFA" w:themeFill="background1"/>
      </w:tcPr>
    </w:tblStylePr>
    <w:tblStylePr w:type="firstCol">
      <w:rPr>
        <w:b/>
        <w:bCs/>
        <w:color w:val="E7EEFA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E7EEFA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2ED" w:themeFill="background1" w:themeFillShade="D8"/>
      </w:tcPr>
    </w:tblStylePr>
    <w:tblStylePr w:type="band1Horz">
      <w:tblPr/>
      <w:tcPr>
        <w:shd w:val="clear" w:color="auto" w:fill="AAC2E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EEFA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qFormat/>
    <w:rsid w:val="00A335B0"/>
    <w:rPr>
      <w:kern w:val="0"/>
      <w:sz w:val="20"/>
      <w:szCs w:val="20"/>
    </w:rPr>
    <w:tblPr>
      <w:tblInd w:w="0" w:type="dxa"/>
      <w:tblBorders>
        <w:top w:val="single" w:sz="8" w:space="0" w:color="E7EEFA" w:themeColor="background1"/>
        <w:left w:val="single" w:sz="8" w:space="0" w:color="E7EEFA" w:themeColor="background1"/>
        <w:bottom w:val="single" w:sz="8" w:space="0" w:color="E7EEFA" w:themeColor="background1"/>
        <w:right w:val="single" w:sz="8" w:space="0" w:color="E7EEFA" w:themeColor="background1"/>
        <w:insideH w:val="single" w:sz="6" w:space="0" w:color="E7EEFA" w:themeColor="background1"/>
        <w:insideV w:val="single" w:sz="6" w:space="0" w:color="E7EEFA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E7EEFA" w:themeColor="background1"/>
      </w:rPr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24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E7EEFA" w:themeColor="background1"/>
      </w:rPr>
      <w:tblPr/>
      <w:tcPr>
        <w:tcBorders>
          <w:top w:val="single" w:sz="24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E7EEFA" w:themeColor="background1"/>
      </w:rPr>
      <w:tblPr/>
      <w:tcPr>
        <w:tcBorders>
          <w:left w:val="single" w:sz="8" w:space="0" w:color="E7EEFA" w:themeColor="background1"/>
          <w:right w:val="single" w:sz="24" w:space="0" w:color="E7EEFA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E7EEFA" w:themeColor="background1"/>
      </w:rPr>
      <w:tblPr/>
      <w:tcPr>
        <w:tcBorders>
          <w:top w:val="nil"/>
          <w:left w:val="single" w:sz="24" w:space="0" w:color="E7EEFA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E7EEFA" w:themeColor="background1"/>
          <w:left w:val="single" w:sz="8" w:space="0" w:color="E7EEFA" w:themeColor="background1"/>
          <w:bottom w:val="single" w:sz="8" w:space="0" w:color="E7EEFA" w:themeColor="background1"/>
          <w:right w:val="single" w:sz="8" w:space="0" w:color="E7EEFA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2182618530765"/>
          <c:y val="0.16278239752741189"/>
          <c:w val="0.79384492595634182"/>
          <c:h val="0.42826857507297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总量</c:v>
                </c:pt>
                <c:pt idx="1">
                  <c:v>投诉</c:v>
                </c:pt>
                <c:pt idx="2">
                  <c:v>举报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240073</c:v>
                </c:pt>
                <c:pt idx="1">
                  <c:v>196646</c:v>
                </c:pt>
                <c:pt idx="2">
                  <c:v>43427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总量</c:v>
                </c:pt>
                <c:pt idx="1">
                  <c:v>投诉</c:v>
                </c:pt>
                <c:pt idx="2">
                  <c:v>举报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389250</c:v>
                </c:pt>
                <c:pt idx="1">
                  <c:v>316146</c:v>
                </c:pt>
                <c:pt idx="2">
                  <c:v>73104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48960"/>
        <c:axId val="7065088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Pt>
            <c:idx val="0"/>
            <c:marker>
              <c:symbol val="triangle"/>
              <c:size val="7"/>
            </c:marker>
            <c:bubble3D val="0"/>
          </c:dPt>
          <c:cat>
            <c:strRef>
              <c:f>Sheet1!$A$2:$A$4</c:f>
              <c:strCache>
                <c:ptCount val="3"/>
                <c:pt idx="0">
                  <c:v>总量</c:v>
                </c:pt>
                <c:pt idx="1">
                  <c:v>投诉</c:v>
                </c:pt>
                <c:pt idx="2">
                  <c:v>举报</c:v>
                </c:pt>
              </c:strCache>
            </c:strRef>
          </c:cat>
          <c:val>
            <c:numRef>
              <c:f>Sheet1!$D$2:$D$4</c:f>
              <c:numCache>
                <c:formatCode>[Blue]\↑0.00%;[Red]\↓0.00%</c:formatCode>
                <c:ptCount val="3"/>
                <c:pt idx="0">
                  <c:v>0.62139999999999995</c:v>
                </c:pt>
                <c:pt idx="1">
                  <c:v>0.60770000000000002</c:v>
                </c:pt>
                <c:pt idx="2">
                  <c:v>0.68340000000000001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54208"/>
        <c:axId val="70652672"/>
      </c:lineChart>
      <c:catAx>
        <c:axId val="70648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70650880"/>
        <c:crosses val="autoZero"/>
        <c:auto val="1"/>
        <c:lblAlgn val="ctr"/>
        <c:lblOffset val="100"/>
        <c:noMultiLvlLbl val="0"/>
      </c:catAx>
      <c:valAx>
        <c:axId val="70650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648960"/>
        <c:crosses val="autoZero"/>
        <c:crossBetween val="between"/>
      </c:valAx>
      <c:valAx>
        <c:axId val="70652672"/>
        <c:scaling>
          <c:orientation val="minMax"/>
        </c:scaling>
        <c:delete val="0"/>
        <c:axPos val="r"/>
        <c:numFmt formatCode="[Blue]\↑0.00%;[Red]\↓0.00%" sourceLinked="0"/>
        <c:majorTickMark val="out"/>
        <c:minorTickMark val="none"/>
        <c:tickLblPos val="nextTo"/>
        <c:crossAx val="70654208"/>
        <c:crosses val="max"/>
        <c:crossBetween val="between"/>
      </c:valAx>
      <c:catAx>
        <c:axId val="70654208"/>
        <c:scaling>
          <c:orientation val="minMax"/>
        </c:scaling>
        <c:delete val="1"/>
        <c:axPos val="b"/>
        <c:majorTickMark val="out"/>
        <c:minorTickMark val="none"/>
        <c:tickLblPos val="nextTo"/>
        <c:crossAx val="7065267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solidFill>
                  <a:schemeClr val="tx1"/>
                </a:solidFill>
              </a:defRPr>
            </a:pPr>
            <a:endParaRPr lang="zh-CN"/>
          </a:p>
        </c:txPr>
      </c:dTable>
      <c:spPr>
        <a:noFill/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52068935906482"/>
          <c:y val="0.22315444792701883"/>
          <c:w val="0.79391490537367038"/>
          <c:h val="0.40006689091048087"/>
        </c:manualLayout>
      </c:layout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投诉举报量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130456</c:v>
                </c:pt>
                <c:pt idx="1">
                  <c:v>144371</c:v>
                </c:pt>
                <c:pt idx="2">
                  <c:v>173728</c:v>
                </c:pt>
                <c:pt idx="3">
                  <c:v>240073</c:v>
                </c:pt>
                <c:pt idx="4">
                  <c:v>389250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85056"/>
        <c:axId val="70686592"/>
      </c:lineChart>
      <c:lineChart>
        <c:grouping val="stack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0.2369</c:v>
                </c:pt>
                <c:pt idx="1">
                  <c:v>0.1067</c:v>
                </c:pt>
                <c:pt idx="2">
                  <c:v>0.20330000000000001</c:v>
                </c:pt>
                <c:pt idx="3">
                  <c:v>0.38190000000000002</c:v>
                </c:pt>
                <c:pt idx="4">
                  <c:v>0.62139999999999995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960960"/>
        <c:axId val="70688128"/>
      </c:lineChart>
      <c:catAx>
        <c:axId val="7068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686592"/>
        <c:crosses val="autoZero"/>
        <c:auto val="1"/>
        <c:lblAlgn val="ctr"/>
        <c:lblOffset val="100"/>
        <c:noMultiLvlLbl val="0"/>
      </c:catAx>
      <c:valAx>
        <c:axId val="706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685056"/>
        <c:crosses val="autoZero"/>
        <c:crossBetween val="between"/>
      </c:valAx>
      <c:valAx>
        <c:axId val="7068812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83960960"/>
        <c:crosses val="max"/>
        <c:crossBetween val="between"/>
      </c:valAx>
      <c:catAx>
        <c:axId val="83960960"/>
        <c:scaling>
          <c:orientation val="minMax"/>
        </c:scaling>
        <c:delete val="1"/>
        <c:axPos val="b"/>
        <c:majorTickMark val="out"/>
        <c:minorTickMark val="none"/>
        <c:tickLblPos val="nextTo"/>
        <c:crossAx val="7068812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134660976766245"/>
          <c:y val="0.78127749768688981"/>
          <c:w val="0.41725936462778568"/>
          <c:h val="0.216821503427179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050642513616435E-2"/>
          <c:y val="0.1671163144080674"/>
          <c:w val="0.75213956275696747"/>
          <c:h val="0.60987221991987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投诉举报量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74676</c:v>
                </c:pt>
                <c:pt idx="1">
                  <c:v>48655</c:v>
                </c:pt>
                <c:pt idx="2">
                  <c:v>59264</c:v>
                </c:pt>
                <c:pt idx="3">
                  <c:v>62740</c:v>
                </c:pt>
                <c:pt idx="4">
                  <c:v>61344</c:v>
                </c:pt>
                <c:pt idx="5">
                  <c:v>82601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12416"/>
        <c:axId val="84014208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Sheet1!$C$2:$C$7</c:f>
              <c:numCache>
                <c:formatCode>[Blue]\↑0.00%;[Red]\↓0.00%</c:formatCode>
                <c:ptCount val="6"/>
                <c:pt idx="0">
                  <c:v>4.2999999999999997E-2</c:v>
                </c:pt>
                <c:pt idx="1">
                  <c:v>-0.34849999999999998</c:v>
                </c:pt>
                <c:pt idx="2">
                  <c:v>0.218</c:v>
                </c:pt>
                <c:pt idx="3">
                  <c:v>5.8700000000000002E-2</c:v>
                </c:pt>
                <c:pt idx="4">
                  <c:v>-2.23E-2</c:v>
                </c:pt>
                <c:pt idx="5">
                  <c:v>0.34649999999999997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638272"/>
        <c:axId val="84015744"/>
      </c:lineChart>
      <c:catAx>
        <c:axId val="8401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4014208"/>
        <c:crosses val="autoZero"/>
        <c:auto val="1"/>
        <c:lblAlgn val="ctr"/>
        <c:lblOffset val="100"/>
        <c:noMultiLvlLbl val="0"/>
      </c:catAx>
      <c:valAx>
        <c:axId val="840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12416"/>
        <c:crosses val="autoZero"/>
        <c:crossBetween val="between"/>
      </c:valAx>
      <c:valAx>
        <c:axId val="84015744"/>
        <c:scaling>
          <c:orientation val="minMax"/>
        </c:scaling>
        <c:delete val="0"/>
        <c:axPos val="r"/>
        <c:numFmt formatCode="[Blue]\↑0.00%;[Red]\↓0.00%" sourceLinked="1"/>
        <c:majorTickMark val="out"/>
        <c:minorTickMark val="none"/>
        <c:tickLblPos val="nextTo"/>
        <c:crossAx val="137638272"/>
        <c:crosses val="max"/>
        <c:crossBetween val="between"/>
      </c:valAx>
      <c:catAx>
        <c:axId val="137638272"/>
        <c:scaling>
          <c:orientation val="minMax"/>
        </c:scaling>
        <c:delete val="1"/>
        <c:axPos val="b"/>
        <c:majorTickMark val="out"/>
        <c:minorTickMark val="none"/>
        <c:tickLblPos val="nextTo"/>
        <c:crossAx val="8401574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24855491329479765"/>
          <c:y val="0.89437318690426859"/>
          <c:w val="0.38535645472061658"/>
          <c:h val="0.101604503384445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40253060852943"/>
          <c:y val="0.12108549722423938"/>
          <c:w val="0.73142627402788529"/>
          <c:h val="0.768500142301489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sz="1050" dirty="0" smtClean="0">
                        <a:solidFill>
                          <a:schemeClr val="tx1"/>
                        </a:solidFill>
                      </a:rPr>
                      <a:t>5983  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1.92%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sz="1050" smtClean="0">
                        <a:solidFill>
                          <a:schemeClr val="tx1"/>
                        </a:solidFill>
                      </a:rPr>
                      <a:t>6577   </a:t>
                    </a:r>
                    <a:r>
                      <a:rPr lang="zh-CN" altLang="en-US" sz="105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smtClean="0">
                        <a:solidFill>
                          <a:srgbClr val="C00000"/>
                        </a:solidFill>
                      </a:rPr>
                      <a:t>2.11%</a:t>
                    </a:r>
                    <a:endParaRPr lang="en-US" altLang="en-US" sz="105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en-US" sz="1050" smtClean="0">
                        <a:solidFill>
                          <a:schemeClr val="tx1"/>
                        </a:solidFill>
                      </a:rPr>
                      <a:t>11783    </a:t>
                    </a:r>
                    <a:r>
                      <a:rPr lang="zh-CN" altLang="en-US" sz="105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smtClean="0">
                        <a:solidFill>
                          <a:srgbClr val="C00000"/>
                        </a:solidFill>
                      </a:rPr>
                      <a:t>346%</a:t>
                    </a:r>
                    <a:endParaRPr lang="en-US" altLang="en-US" sz="105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sz="1050" dirty="0" smtClean="0">
                        <a:solidFill>
                          <a:schemeClr val="tx1"/>
                        </a:solidFill>
                      </a:rPr>
                      <a:t>12448 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4.00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sz="1050" smtClean="0">
                        <a:solidFill>
                          <a:schemeClr val="tx1"/>
                        </a:solidFill>
                      </a:rPr>
                      <a:t>15664 </a:t>
                    </a:r>
                    <a:r>
                      <a:rPr lang="zh-CN" altLang="en-US" sz="105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smtClean="0">
                        <a:solidFill>
                          <a:srgbClr val="C00000"/>
                        </a:solidFill>
                      </a:rPr>
                      <a:t>5.03%</a:t>
                    </a:r>
                    <a:endParaRPr lang="en-US" altLang="en-US" sz="105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50">
                        <a:solidFill>
                          <a:schemeClr val="tx1"/>
                        </a:solidFill>
                      </a:defRPr>
                    </a:pPr>
                    <a:r>
                      <a:rPr lang="en-US" altLang="en-US" sz="1050" dirty="0" smtClean="0">
                        <a:solidFill>
                          <a:schemeClr val="tx1"/>
                        </a:solidFill>
                      </a:rPr>
                      <a:t>16207 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5.21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 sz="1050" smtClean="0">
                        <a:solidFill>
                          <a:schemeClr val="tx1"/>
                        </a:solidFill>
                      </a:rPr>
                      <a:t>20102   </a:t>
                    </a:r>
                    <a:r>
                      <a:rPr lang="zh-CN" altLang="en-US" sz="105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smtClean="0">
                        <a:solidFill>
                          <a:srgbClr val="C00000"/>
                        </a:solidFill>
                      </a:rPr>
                      <a:t>6.46</a:t>
                    </a:r>
                    <a:r>
                      <a:rPr lang="en-US" altLang="zh-CN" sz="105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 sz="1050" smtClean="0">
                        <a:solidFill>
                          <a:schemeClr val="tx1"/>
                        </a:solidFill>
                      </a:rPr>
                      <a:t>36015  </a:t>
                    </a:r>
                    <a:r>
                      <a:rPr lang="en-US" altLang="en-US" sz="1050" smtClean="0">
                        <a:solidFill>
                          <a:srgbClr val="C00000"/>
                        </a:solidFill>
                      </a:rPr>
                      <a:t> </a:t>
                    </a:r>
                    <a:r>
                      <a:rPr lang="zh-CN" altLang="en-US" sz="105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smtClean="0">
                        <a:solidFill>
                          <a:srgbClr val="C00000"/>
                        </a:solidFill>
                      </a:rPr>
                      <a:t>11.57</a:t>
                    </a:r>
                    <a:r>
                      <a:rPr lang="en-US" altLang="zh-CN" sz="105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625733921988163E-2"/>
                  <c:y val="-3.2005186098725612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dirty="0" smtClean="0">
                        <a:solidFill>
                          <a:schemeClr val="tx1"/>
                        </a:solidFill>
                      </a:rPr>
                      <a:t>40366  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12.97%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072093810854288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dirty="0" smtClean="0">
                        <a:solidFill>
                          <a:schemeClr val="tx1"/>
                        </a:solidFill>
                        <a:latin typeface="仿宋_GB2312" pitchFamily="49" charset="-122"/>
                        <a:ea typeface="仿宋_GB2312" pitchFamily="49" charset="-122"/>
                      </a:rPr>
                      <a:t>53604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  <a:latin typeface="仿宋_GB2312" pitchFamily="49" charset="-122"/>
                        <a:ea typeface="仿宋_GB2312" pitchFamily="49" charset="-122"/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  <a:latin typeface="仿宋_GB2312" pitchFamily="49" charset="-122"/>
                        <a:ea typeface="仿宋_GB2312" pitchFamily="49" charset="-122"/>
                      </a:rPr>
                      <a:t>17.22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  <a:latin typeface="仿宋_GB2312" pitchFamily="49" charset="-122"/>
                        <a:ea typeface="仿宋_GB2312" pitchFamily="49" charset="-122"/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  <a:latin typeface="仿宋_GB2312" pitchFamily="49" charset="-122"/>
                      <a:ea typeface="仿宋_GB2312" pitchFamily="49" charset="-122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solidFill>
                      <a:schemeClr val="tx1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文化运动用品</c:v>
                </c:pt>
                <c:pt idx="1">
                  <c:v>卫生用品</c:v>
                </c:pt>
                <c:pt idx="2">
                  <c:v>儿童用品</c:v>
                </c:pt>
                <c:pt idx="3">
                  <c:v>计算机产品</c:v>
                </c:pt>
                <c:pt idx="4">
                  <c:v>家用电器</c:v>
                </c:pt>
                <c:pt idx="5">
                  <c:v>通讯产品</c:v>
                </c:pt>
                <c:pt idx="6">
                  <c:v>化妆品</c:v>
                </c:pt>
                <c:pt idx="7">
                  <c:v>家居用品</c:v>
                </c:pt>
                <c:pt idx="8">
                  <c:v>一般食品</c:v>
                </c:pt>
                <c:pt idx="9">
                  <c:v>服装鞋帽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5983</c:v>
                </c:pt>
                <c:pt idx="1">
                  <c:v>6577</c:v>
                </c:pt>
                <c:pt idx="2">
                  <c:v>11783</c:v>
                </c:pt>
                <c:pt idx="3">
                  <c:v>12448</c:v>
                </c:pt>
                <c:pt idx="4">
                  <c:v>15664</c:v>
                </c:pt>
                <c:pt idx="5">
                  <c:v>16207</c:v>
                </c:pt>
                <c:pt idx="6">
                  <c:v>20102</c:v>
                </c:pt>
                <c:pt idx="7">
                  <c:v>36015</c:v>
                </c:pt>
                <c:pt idx="8">
                  <c:v>40366</c:v>
                </c:pt>
                <c:pt idx="9">
                  <c:v>53604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63520"/>
        <c:axId val="82365056"/>
      </c:barChart>
      <c:catAx>
        <c:axId val="823635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tx1"/>
                </a:solidFill>
              </a:defRPr>
            </a:pPr>
            <a:endParaRPr lang="zh-CN"/>
          </a:p>
        </c:txPr>
        <c:crossAx val="82365056"/>
        <c:crosses val="autoZero"/>
        <c:auto val="1"/>
        <c:lblAlgn val="ctr"/>
        <c:lblOffset val="100"/>
        <c:noMultiLvlLbl val="0"/>
      </c:catAx>
      <c:valAx>
        <c:axId val="82365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zh-CN"/>
          </a:p>
        </c:txPr>
        <c:crossAx val="82363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solidFill>
            <a:schemeClr val="accent3">
              <a:lumMod val="75000"/>
            </a:schemeClr>
          </a:solidFill>
        </a:defRPr>
      </a:pPr>
      <a:endParaRPr lang="zh-CN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01979276884925"/>
          <c:y val="3.520132157402571E-2"/>
          <c:w val="0.62750506136119377"/>
          <c:h val="0.86086961123075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 sz="1100" dirty="0" smtClean="0"/>
                      <a:t>1849  </a:t>
                    </a:r>
                    <a:r>
                      <a:rPr lang="zh-CN" altLang="en-US" sz="110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100" dirty="0" smtClean="0">
                        <a:solidFill>
                          <a:srgbClr val="C00000"/>
                        </a:solidFill>
                      </a:rPr>
                      <a:t>2.37%</a:t>
                    </a:r>
                    <a:endParaRPr lang="en-US" altLang="en-US" sz="110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 sz="1100" dirty="0" smtClean="0"/>
                      <a:t>1972  </a:t>
                    </a:r>
                    <a:r>
                      <a:rPr lang="zh-CN" altLang="en-US" sz="110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100" dirty="0" smtClean="0">
                        <a:solidFill>
                          <a:srgbClr val="C00000"/>
                        </a:solidFill>
                      </a:rPr>
                      <a:t>2.53%</a:t>
                    </a:r>
                    <a:endParaRPr lang="en-US" altLang="en-US" sz="110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5385704175513091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dirty="0" smtClean="0"/>
                      <a:t>2423  </a:t>
                    </a:r>
                    <a:r>
                      <a:rPr lang="zh-CN" altLang="en-US" sz="110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100" dirty="0" smtClean="0">
                        <a:solidFill>
                          <a:srgbClr val="C00000"/>
                        </a:solidFill>
                      </a:rPr>
                      <a:t>3.11%</a:t>
                    </a:r>
                    <a:endParaRPr lang="en-US" altLang="en-US" sz="110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169556840077067E-3"/>
                  <c:y val="-3.5385704175513091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100" dirty="0" smtClean="0"/>
                      <a:t>3005 </a:t>
                    </a:r>
                    <a:r>
                      <a:rPr lang="zh-CN" altLang="en-US" sz="110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100" dirty="0" smtClean="0">
                        <a:solidFill>
                          <a:srgbClr val="C00000"/>
                        </a:solidFill>
                      </a:rPr>
                      <a:t>3.86</a:t>
                    </a:r>
                    <a:r>
                      <a:rPr lang="en-US" altLang="zh-CN" sz="110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10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3604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4.62%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4035 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5.18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4272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5.48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4764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6.11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2001201430932463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13139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zh-CN" sz="1050" dirty="0" smtClean="0">
                        <a:solidFill>
                          <a:srgbClr val="C00000"/>
                        </a:solidFill>
                      </a:rPr>
                      <a:t>16.86%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209566736373205E-3"/>
                  <c:y val="-1.280048057237298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dirty="0" smtClean="0"/>
                      <a:t>20930  </a:t>
                    </a:r>
                    <a:r>
                      <a:rPr lang="zh-CN" altLang="en-US" sz="1050" dirty="0" smtClean="0">
                        <a:solidFill>
                          <a:srgbClr val="C00000"/>
                        </a:solidFill>
                      </a:rPr>
                      <a:t>占</a:t>
                    </a:r>
                    <a:r>
                      <a:rPr lang="en-US" altLang="en-US" sz="1050" dirty="0" smtClean="0">
                        <a:solidFill>
                          <a:srgbClr val="C00000"/>
                        </a:solidFill>
                      </a:rPr>
                      <a:t>26.85</a:t>
                    </a:r>
                    <a:endParaRPr lang="en-US" altLang="en-US" sz="1050" dirty="0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Sheet1!$A$2:$A$11</c:f>
              <c:strCache>
                <c:ptCount val="10"/>
                <c:pt idx="0">
                  <c:v>中介服务</c:v>
                </c:pt>
                <c:pt idx="1">
                  <c:v>旅游服务</c:v>
                </c:pt>
                <c:pt idx="2">
                  <c:v>邮政服务</c:v>
                </c:pt>
                <c:pt idx="3">
                  <c:v>金融服务</c:v>
                </c:pt>
                <c:pt idx="4">
                  <c:v>教育培训服务</c:v>
                </c:pt>
                <c:pt idx="5">
                  <c:v>卫生保健和社会福利</c:v>
                </c:pt>
                <c:pt idx="6">
                  <c:v>交通运输服务</c:v>
                </c:pt>
                <c:pt idx="7">
                  <c:v>餐饮住宿服务</c:v>
                </c:pt>
                <c:pt idx="8">
                  <c:v>互联网服务</c:v>
                </c:pt>
                <c:pt idx="9">
                  <c:v>销售服务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1849</c:v>
                </c:pt>
                <c:pt idx="1">
                  <c:v>1972</c:v>
                </c:pt>
                <c:pt idx="2">
                  <c:v>2423</c:v>
                </c:pt>
                <c:pt idx="3">
                  <c:v>3005</c:v>
                </c:pt>
                <c:pt idx="4">
                  <c:v>3604</c:v>
                </c:pt>
                <c:pt idx="5">
                  <c:v>4035</c:v>
                </c:pt>
                <c:pt idx="6">
                  <c:v>4272</c:v>
                </c:pt>
                <c:pt idx="7">
                  <c:v>4764</c:v>
                </c:pt>
                <c:pt idx="8">
                  <c:v>13139</c:v>
                </c:pt>
                <c:pt idx="9">
                  <c:v>20930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71168"/>
        <c:axId val="82493440"/>
      </c:barChart>
      <c:catAx>
        <c:axId val="82471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zh-CN"/>
          </a:p>
        </c:txPr>
        <c:crossAx val="82493440"/>
        <c:crosses val="autoZero"/>
        <c:auto val="1"/>
        <c:lblAlgn val="ctr"/>
        <c:lblOffset val="100"/>
        <c:noMultiLvlLbl val="0"/>
      </c:catAx>
      <c:valAx>
        <c:axId val="824934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471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solidFill>
            <a:schemeClr val="tx1"/>
          </a:solidFill>
        </a:defRPr>
      </a:pPr>
      <a:endParaRPr lang="zh-CN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0.36127</cdr:x>
      <cdr:y>0.03972</cdr:y>
    </cdr:from>
    <cdr:to>
      <cdr:x>0.80636</cdr:x>
      <cdr:y>0.13084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905000" y="129540"/>
          <a:ext cx="234696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网购投诉举报同比图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0.31958</cdr:x>
      <cdr:y>0.03477</cdr:y>
    </cdr:from>
    <cdr:to>
      <cdr:x>0.75771</cdr:x>
      <cdr:y>0.17506</cdr:y>
    </cdr:to>
    <cdr:sp macro="" textlink="">
      <cdr:nvSpPr>
        <cdr:cNvPr id="3" name="文本框 1"/>
        <cdr:cNvSpPr txBox="1"/>
      </cdr:nvSpPr>
      <cdr:spPr>
        <a:xfrm xmlns:a="http://schemas.openxmlformats.org/drawingml/2006/main">
          <a:off x="1711960" y="73660"/>
          <a:ext cx="2346960" cy="29718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0.38549</cdr:x>
      <cdr:y>0.02518</cdr:y>
    </cdr:from>
    <cdr:to>
      <cdr:x>0.69986</cdr:x>
      <cdr:y>0.31068</cdr:y>
    </cdr:to>
    <cdr:sp macro="" textlink="">
      <cdr:nvSpPr>
        <cdr:cNvPr id="4" name="文本框 3"/>
        <cdr:cNvSpPr txBox="1"/>
      </cdr:nvSpPr>
      <cdr:spPr>
        <a:xfrm xmlns:a="http://schemas.openxmlformats.org/drawingml/2006/main">
          <a:off x="2065016" y="39526"/>
          <a:ext cx="1684036" cy="448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400" b="1"/>
            <a:t>网购历年趋势情况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</cdr:x>
      <cdr:y>0.03158</cdr:y>
    </cdr:from>
    <cdr:to>
      <cdr:x>0.71965</cdr:x>
      <cdr:y>0.13684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318260" y="91440"/>
          <a:ext cx="24765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100"/>
            <a:t>             </a:t>
          </a:r>
          <a:r>
            <a:rPr lang="zh-CN" altLang="en-US" sz="1400" b="1"/>
            <a:t>      网购月度走势表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0.34104</cdr:x>
      <cdr:y>0</cdr:y>
    </cdr:from>
    <cdr:to>
      <cdr:x>0.70231</cdr:x>
      <cdr:y>0.08266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798320" y="0"/>
          <a:ext cx="190500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en-US" sz="1600" b="1"/>
            <a:t>商品类热点</a:t>
          </a:r>
          <a:r>
            <a:rPr lang="en-US" altLang="zh-CN" sz="1600" b="1"/>
            <a:t>TOP10</a:t>
          </a:r>
          <a:endParaRPr lang="zh-CN" altLang="en-US" sz="1600" b="1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2022-06-23T07:13:00Z</dcterms:created>
  <dcterms:modified xsi:type="dcterms:W3CDTF">2022-07-06T03:03:00Z</dcterms:modified>
</cp:coreProperties>
</file>