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方正小标宋简体" w:cs="方正仿宋简体"/>
          <w:color w:val="000000"/>
          <w:sz w:val="32"/>
          <w:szCs w:val="32"/>
        </w:rPr>
      </w:pPr>
      <w:r>
        <w:rPr>
          <w:rFonts w:hint="eastAsia" w:ascii="Times New Roman" w:hAnsi="Times New Roman" w:eastAsia="方正小标宋简体" w:cs="方正仿宋简体"/>
          <w:color w:val="000000"/>
          <w:sz w:val="32"/>
          <w:szCs w:val="32"/>
          <w:lang w:val="en-US" w:eastAsia="zh-CN"/>
        </w:rPr>
        <w:t>2022年</w:t>
      </w:r>
      <w:bookmarkStart w:id="0" w:name="_GoBack"/>
      <w:bookmarkEnd w:id="0"/>
      <w:r>
        <w:rPr>
          <w:rFonts w:hint="eastAsia" w:ascii="Times New Roman" w:hAnsi="Times New Roman" w:eastAsia="方正小标宋简体" w:cs="方正仿宋简体"/>
          <w:color w:val="000000"/>
          <w:sz w:val="32"/>
          <w:szCs w:val="32"/>
        </w:rPr>
        <w:t>杭州市纸吸管产品质量监督抽查实施细则</w:t>
      </w:r>
    </w:p>
    <w:p>
      <w:pPr>
        <w:adjustRightInd w:val="0"/>
        <w:snapToGrid w:val="0"/>
        <w:spacing w:line="440" w:lineRule="exact"/>
        <w:rPr>
          <w:rFonts w:ascii="Times New Roman" w:hAnsi="Times New Roman" w:eastAsia="黑体"/>
          <w:color w:val="000000"/>
          <w:szCs w:val="21"/>
        </w:rPr>
      </w:pPr>
    </w:p>
    <w:p>
      <w:pPr>
        <w:adjustRightInd w:val="0"/>
        <w:snapToGrid w:val="0"/>
        <w:spacing w:line="440" w:lineRule="exact"/>
        <w:rPr>
          <w:rFonts w:ascii="Times New Roman" w:hAnsi="Times New Roman" w:eastAsia="黑体"/>
          <w:color w:val="000000"/>
          <w:szCs w:val="21"/>
        </w:rPr>
      </w:pPr>
      <w:r>
        <w:rPr>
          <w:rFonts w:ascii="Times New Roman" w:hAnsi="Times New Roman" w:eastAsia="黑体"/>
          <w:color w:val="000000"/>
          <w:szCs w:val="21"/>
        </w:rPr>
        <w:t xml:space="preserve">1 </w:t>
      </w:r>
      <w:r>
        <w:rPr>
          <w:rFonts w:hint="eastAsia" w:ascii="Times New Roman" w:hAnsi="Times New Roman" w:eastAsia="黑体"/>
          <w:color w:val="000000"/>
          <w:szCs w:val="21"/>
        </w:rPr>
        <w:t>抽样方法</w:t>
      </w:r>
    </w:p>
    <w:p>
      <w:pPr>
        <w:adjustRightInd w:val="0"/>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以随机抽样的方式在被抽样生产者、销售者的待销产品中抽取。</w:t>
      </w:r>
    </w:p>
    <w:p>
      <w:pPr>
        <w:adjustRightInd w:val="0"/>
        <w:snapToGrid w:val="0"/>
        <w:ind w:firstLine="420" w:firstLineChars="200"/>
        <w:jc w:val="center"/>
        <w:rPr>
          <w:rFonts w:ascii="宋体" w:hAnsi="宋体"/>
          <w:szCs w:val="21"/>
        </w:rPr>
      </w:pPr>
      <w:r>
        <w:rPr>
          <w:rFonts w:hint="eastAsia" w:ascii="宋体" w:hAnsi="宋体"/>
          <w:szCs w:val="21"/>
        </w:rPr>
        <w:t>表1 抽样数量</w:t>
      </w:r>
    </w:p>
    <w:tbl>
      <w:tblPr>
        <w:tblStyle w:val="5"/>
        <w:tblW w:w="9195" w:type="dxa"/>
        <w:jc w:val="center"/>
        <w:tblLayout w:type="fixed"/>
        <w:tblCellMar>
          <w:top w:w="0" w:type="dxa"/>
          <w:left w:w="45" w:type="dxa"/>
          <w:bottom w:w="0" w:type="dxa"/>
          <w:right w:w="45" w:type="dxa"/>
        </w:tblCellMar>
      </w:tblPr>
      <w:tblGrid>
        <w:gridCol w:w="537"/>
        <w:gridCol w:w="1459"/>
        <w:gridCol w:w="2175"/>
        <w:gridCol w:w="2550"/>
        <w:gridCol w:w="2474"/>
      </w:tblGrid>
      <w:tr>
        <w:tblPrEx>
          <w:tblCellMar>
            <w:top w:w="0" w:type="dxa"/>
            <w:left w:w="45" w:type="dxa"/>
            <w:bottom w:w="0" w:type="dxa"/>
            <w:right w:w="45" w:type="dxa"/>
          </w:tblCellMar>
        </w:tblPrEx>
        <w:trPr>
          <w:trHeight w:val="567" w:hRule="atLeast"/>
          <w:jc w:val="center"/>
        </w:trPr>
        <w:tc>
          <w:tcPr>
            <w:tcW w:w="537" w:type="dxa"/>
            <w:tcBorders>
              <w:top w:val="single" w:color="000000" w:sz="6" w:space="0"/>
              <w:left w:val="single" w:color="000000" w:sz="6" w:space="0"/>
              <w:bottom w:val="single" w:color="000000" w:sz="2" w:space="0"/>
              <w:right w:val="single" w:color="000000" w:sz="2" w:space="0"/>
            </w:tcBorders>
            <w:vAlign w:val="center"/>
          </w:tcPr>
          <w:p>
            <w:pPr>
              <w:adjustRightInd w:val="0"/>
              <w:snapToGrid w:val="0"/>
              <w:spacing w:line="440" w:lineRule="exact"/>
              <w:jc w:val="center"/>
              <w:rPr>
                <w:rFonts w:ascii="Times New Roman" w:hAnsi="Times New Roman"/>
                <w:bCs/>
                <w:color w:val="000000"/>
                <w:szCs w:val="21"/>
              </w:rPr>
            </w:pPr>
            <w:r>
              <w:rPr>
                <w:rFonts w:hint="eastAsia" w:ascii="Times New Roman" w:hAnsi="Times New Roman"/>
                <w:bCs/>
                <w:color w:val="000000"/>
                <w:szCs w:val="21"/>
              </w:rPr>
              <w:t>序号</w:t>
            </w:r>
          </w:p>
        </w:tc>
        <w:tc>
          <w:tcPr>
            <w:tcW w:w="1459" w:type="dxa"/>
            <w:tcBorders>
              <w:top w:val="single" w:color="000000" w:sz="6" w:space="0"/>
              <w:left w:val="single" w:color="000000" w:sz="6" w:space="0"/>
              <w:bottom w:val="single" w:color="000000" w:sz="2" w:space="0"/>
              <w:right w:val="single" w:color="000000" w:sz="2" w:space="0"/>
            </w:tcBorders>
            <w:vAlign w:val="center"/>
          </w:tcPr>
          <w:p>
            <w:pPr>
              <w:adjustRightInd w:val="0"/>
              <w:snapToGrid w:val="0"/>
              <w:spacing w:line="440" w:lineRule="exact"/>
              <w:jc w:val="center"/>
              <w:rPr>
                <w:rFonts w:ascii="Times New Roman" w:hAnsi="Times New Roman"/>
                <w:bCs/>
                <w:color w:val="000000"/>
                <w:szCs w:val="21"/>
              </w:rPr>
            </w:pPr>
            <w:r>
              <w:rPr>
                <w:rFonts w:hint="eastAsia" w:ascii="Times New Roman" w:hAnsi="Times New Roman"/>
                <w:bCs/>
                <w:color w:val="000000"/>
                <w:szCs w:val="21"/>
              </w:rPr>
              <w:t>产品种类</w:t>
            </w:r>
          </w:p>
        </w:tc>
        <w:tc>
          <w:tcPr>
            <w:tcW w:w="2175"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ascii="Times New Roman" w:hAnsi="Times New Roman"/>
                <w:bCs/>
                <w:color w:val="000000"/>
                <w:szCs w:val="21"/>
              </w:rPr>
            </w:pPr>
            <w:r>
              <w:rPr>
                <w:rFonts w:hint="eastAsia" w:ascii="Times New Roman" w:hAnsi="Times New Roman"/>
                <w:bCs/>
                <w:color w:val="000000"/>
                <w:szCs w:val="21"/>
              </w:rPr>
              <w:t>抽样数量（</w:t>
            </w:r>
            <w:r>
              <w:rPr>
                <w:rFonts w:hint="eastAsia" w:ascii="Times New Roman" w:hAnsi="Times New Roman"/>
                <w:color w:val="000000"/>
                <w:szCs w:val="21"/>
              </w:rPr>
              <w:t>个）</w:t>
            </w:r>
          </w:p>
        </w:tc>
        <w:tc>
          <w:tcPr>
            <w:tcW w:w="2550"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ascii="Times New Roman" w:hAnsi="Times New Roman"/>
                <w:bCs/>
                <w:color w:val="000000"/>
                <w:szCs w:val="21"/>
              </w:rPr>
            </w:pPr>
            <w:r>
              <w:rPr>
                <w:rFonts w:hint="eastAsia" w:ascii="Times New Roman" w:hAnsi="Times New Roman"/>
                <w:color w:val="000000"/>
                <w:szCs w:val="21"/>
              </w:rPr>
              <w:t>检验样品数量（个）</w:t>
            </w:r>
          </w:p>
        </w:tc>
        <w:tc>
          <w:tcPr>
            <w:tcW w:w="2474"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ascii="Times New Roman" w:hAnsi="Times New Roman"/>
                <w:b/>
                <w:color w:val="000000"/>
                <w:szCs w:val="21"/>
              </w:rPr>
            </w:pPr>
            <w:r>
              <w:rPr>
                <w:rFonts w:hint="eastAsia" w:ascii="Times New Roman" w:hAnsi="Times New Roman"/>
                <w:color w:val="000000"/>
                <w:szCs w:val="21"/>
              </w:rPr>
              <w:t>备用样品数量（个）</w:t>
            </w:r>
          </w:p>
        </w:tc>
      </w:tr>
      <w:tr>
        <w:tblPrEx>
          <w:tblCellMar>
            <w:top w:w="0" w:type="dxa"/>
            <w:left w:w="45" w:type="dxa"/>
            <w:bottom w:w="0" w:type="dxa"/>
            <w:right w:w="45" w:type="dxa"/>
          </w:tblCellMar>
        </w:tblPrEx>
        <w:trPr>
          <w:trHeight w:val="567" w:hRule="atLeast"/>
          <w:jc w:val="center"/>
        </w:trPr>
        <w:tc>
          <w:tcPr>
            <w:tcW w:w="537" w:type="dxa"/>
            <w:tcBorders>
              <w:top w:val="single" w:color="000000" w:sz="2" w:space="0"/>
              <w:left w:val="single" w:color="000000" w:sz="6" w:space="0"/>
              <w:bottom w:val="single" w:color="000000" w:sz="2" w:space="0"/>
              <w:right w:val="single" w:color="000000" w:sz="2"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1459" w:type="dxa"/>
            <w:tcBorders>
              <w:top w:val="single" w:color="000000" w:sz="2" w:space="0"/>
              <w:left w:val="single" w:color="000000" w:sz="6" w:space="0"/>
              <w:bottom w:val="single" w:color="000000" w:sz="2" w:space="0"/>
              <w:right w:val="single" w:color="000000" w:sz="2" w:space="0"/>
            </w:tcBorders>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纸吸管</w:t>
            </w:r>
          </w:p>
        </w:tc>
        <w:tc>
          <w:tcPr>
            <w:tcW w:w="2175"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150</w:t>
            </w:r>
          </w:p>
        </w:tc>
        <w:tc>
          <w:tcPr>
            <w:tcW w:w="2550"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100</w:t>
            </w:r>
          </w:p>
        </w:tc>
        <w:tc>
          <w:tcPr>
            <w:tcW w:w="2474"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50</w:t>
            </w:r>
          </w:p>
        </w:tc>
      </w:tr>
      <w:tr>
        <w:tblPrEx>
          <w:tblCellMar>
            <w:top w:w="0" w:type="dxa"/>
            <w:left w:w="45" w:type="dxa"/>
            <w:bottom w:w="0" w:type="dxa"/>
            <w:right w:w="45" w:type="dxa"/>
          </w:tblCellMar>
        </w:tblPrEx>
        <w:trPr>
          <w:trHeight w:val="567" w:hRule="atLeast"/>
          <w:jc w:val="center"/>
        </w:trPr>
        <w:tc>
          <w:tcPr>
            <w:tcW w:w="9195" w:type="dxa"/>
            <w:gridSpan w:val="5"/>
            <w:tcBorders>
              <w:top w:val="single" w:color="000000" w:sz="2" w:space="0"/>
              <w:left w:val="single" w:color="000000" w:sz="6" w:space="0"/>
              <w:bottom w:val="single" w:color="000000" w:sz="6" w:space="0"/>
              <w:right w:val="single" w:color="000000" w:sz="6" w:space="0"/>
            </w:tcBorders>
            <w:vAlign w:val="center"/>
          </w:tcPr>
          <w:p>
            <w:pPr>
              <w:adjustRightInd w:val="0"/>
              <w:snapToGrid w:val="0"/>
              <w:rPr>
                <w:rFonts w:ascii="Times New Roman" w:hAnsi="Times New Roman"/>
                <w:color w:val="000000"/>
                <w:szCs w:val="21"/>
              </w:rPr>
            </w:pPr>
            <w:r>
              <w:rPr>
                <w:rFonts w:hint="eastAsia" w:ascii="Times New Roman" w:hAnsi="Times New Roman"/>
                <w:color w:val="000000"/>
                <w:szCs w:val="21"/>
              </w:rPr>
              <w:t>注：如样品过小，可适当增加抽样数量，但不得超过检验、复检的合理需要。</w:t>
            </w:r>
          </w:p>
        </w:tc>
      </w:tr>
    </w:tbl>
    <w:p>
      <w:pPr>
        <w:adjustRightInd w:val="0"/>
        <w:snapToGrid w:val="0"/>
        <w:spacing w:line="440" w:lineRule="exact"/>
        <w:rPr>
          <w:rFonts w:ascii="Times New Roman" w:hAnsi="Times New Roman"/>
          <w:color w:val="000000"/>
          <w:szCs w:val="21"/>
        </w:rPr>
      </w:pPr>
    </w:p>
    <w:p>
      <w:pPr>
        <w:adjustRightInd w:val="0"/>
        <w:snapToGrid w:val="0"/>
        <w:spacing w:line="440" w:lineRule="exact"/>
        <w:rPr>
          <w:rFonts w:ascii="Times New Roman" w:hAnsi="Times New Roman" w:eastAsia="黑体"/>
          <w:color w:val="000000"/>
          <w:szCs w:val="21"/>
        </w:rPr>
      </w:pPr>
      <w:r>
        <w:rPr>
          <w:rFonts w:ascii="Times New Roman" w:hAnsi="Times New Roman" w:eastAsia="黑体"/>
          <w:color w:val="000000"/>
          <w:szCs w:val="21"/>
        </w:rPr>
        <w:t xml:space="preserve">2 </w:t>
      </w:r>
      <w:r>
        <w:rPr>
          <w:rFonts w:hint="eastAsia" w:ascii="Times New Roman" w:hAnsi="Times New Roman" w:eastAsia="黑体"/>
          <w:color w:val="000000"/>
          <w:szCs w:val="21"/>
        </w:rPr>
        <w:t>检验依据</w:t>
      </w:r>
    </w:p>
    <w:p>
      <w:pPr>
        <w:pStyle w:val="2"/>
        <w:adjustRightInd w:val="0"/>
        <w:snapToGrid w:val="0"/>
        <w:spacing w:line="264" w:lineRule="auto"/>
        <w:rPr>
          <w:rFonts w:hAnsi="宋体"/>
        </w:rPr>
      </w:pPr>
    </w:p>
    <w:p>
      <w:pPr>
        <w:pStyle w:val="2"/>
        <w:adjustRightInd w:val="0"/>
        <w:snapToGrid w:val="0"/>
        <w:spacing w:line="240" w:lineRule="exact"/>
        <w:jc w:val="center"/>
        <w:rPr>
          <w:rFonts w:hAnsi="宋体"/>
        </w:rPr>
      </w:pPr>
      <w:r>
        <w:rPr>
          <w:rFonts w:hint="eastAsia" w:hAnsi="宋体"/>
        </w:rPr>
        <w:t>表2</w:t>
      </w:r>
      <w:r>
        <w:rPr>
          <w:rFonts w:hint="eastAsia" w:ascii="Times New Roman" w:hAnsi="Times New Roman"/>
          <w:color w:val="000000"/>
        </w:rPr>
        <w:t>纸吸管</w:t>
      </w:r>
    </w:p>
    <w:tbl>
      <w:tblPr>
        <w:tblStyle w:val="5"/>
        <w:tblW w:w="10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504"/>
        <w:gridCol w:w="2545"/>
        <w:gridCol w:w="851"/>
        <w:gridCol w:w="708"/>
        <w:gridCol w:w="1129"/>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序号</w:t>
            </w:r>
          </w:p>
        </w:tc>
        <w:tc>
          <w:tcPr>
            <w:tcW w:w="250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检验项目</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标准条款</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不合格类别</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color w:val="000000"/>
              </w:rPr>
              <w:t>项目设定</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复检用</w:t>
            </w:r>
          </w:p>
          <w:p>
            <w:pPr>
              <w:pStyle w:val="2"/>
              <w:adjustRightInd w:val="0"/>
              <w:snapToGrid w:val="0"/>
              <w:jc w:val="center"/>
              <w:rPr>
                <w:rFonts w:hAnsi="宋体"/>
              </w:rPr>
            </w:pPr>
            <w:r>
              <w:rPr>
                <w:rFonts w:hint="eastAsia" w:hAnsi="宋体"/>
              </w:rPr>
              <w:t>样品</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1</w:t>
            </w:r>
          </w:p>
        </w:tc>
        <w:tc>
          <w:tcPr>
            <w:tcW w:w="250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感官要求</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GB 4806.8-2016 4.2</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2</w:t>
            </w:r>
          </w:p>
        </w:tc>
        <w:tc>
          <w:tcPr>
            <w:tcW w:w="250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铅</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GB 4806.8-2016 4.3.1</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3</w:t>
            </w:r>
          </w:p>
        </w:tc>
        <w:tc>
          <w:tcPr>
            <w:tcW w:w="250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砷</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GB 4806.8-2016 4.3.1</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4</w:t>
            </w:r>
          </w:p>
        </w:tc>
        <w:tc>
          <w:tcPr>
            <w:tcW w:w="250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甲醛</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GB 4806.8-2016 4.3.1</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5</w:t>
            </w:r>
          </w:p>
        </w:tc>
        <w:tc>
          <w:tcPr>
            <w:tcW w:w="250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荧光性物质</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GB 4806.8-2016 4.3.1</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6</w:t>
            </w:r>
          </w:p>
        </w:tc>
        <w:tc>
          <w:tcPr>
            <w:tcW w:w="250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大肠菌群</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GB 4806.8-2016 4.4</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不予</w:t>
            </w:r>
          </w:p>
          <w:p>
            <w:pPr>
              <w:pStyle w:val="2"/>
              <w:adjustRightInd w:val="0"/>
              <w:snapToGrid w:val="0"/>
              <w:jc w:val="center"/>
              <w:rPr>
                <w:rFonts w:hAnsi="宋体"/>
              </w:rPr>
            </w:pPr>
            <w:r>
              <w:rPr>
                <w:rFonts w:hint="eastAsia" w:hAnsi="宋体"/>
              </w:rPr>
              <w:t>复检</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7</w:t>
            </w:r>
          </w:p>
        </w:tc>
        <w:tc>
          <w:tcPr>
            <w:tcW w:w="250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沙门氏菌</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GB 4806.8-2016 4.4</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不予</w:t>
            </w:r>
          </w:p>
          <w:p>
            <w:pPr>
              <w:pStyle w:val="2"/>
              <w:adjustRightInd w:val="0"/>
              <w:snapToGrid w:val="0"/>
              <w:jc w:val="center"/>
              <w:rPr>
                <w:rFonts w:hAnsi="宋体"/>
              </w:rPr>
            </w:pPr>
            <w:r>
              <w:rPr>
                <w:rFonts w:hint="eastAsia" w:hAnsi="宋体"/>
              </w:rPr>
              <w:t>复检</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8</w:t>
            </w:r>
          </w:p>
        </w:tc>
        <w:tc>
          <w:tcPr>
            <w:tcW w:w="250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霉菌</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GB 4806.8-2016 4.4</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不予</w:t>
            </w:r>
          </w:p>
          <w:p>
            <w:pPr>
              <w:pStyle w:val="2"/>
              <w:adjustRightInd w:val="0"/>
              <w:snapToGrid w:val="0"/>
              <w:jc w:val="center"/>
              <w:rPr>
                <w:rFonts w:hAnsi="宋体"/>
              </w:rPr>
            </w:pPr>
            <w:r>
              <w:rPr>
                <w:rFonts w:hint="eastAsia" w:hAnsi="宋体"/>
              </w:rPr>
              <w:t>复检</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9</w:t>
            </w:r>
          </w:p>
        </w:tc>
        <w:tc>
          <w:tcPr>
            <w:tcW w:w="250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总迁移量（乙酸）</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GB 4806.7-2016 4.3.1</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10</w:t>
            </w:r>
          </w:p>
        </w:tc>
        <w:tc>
          <w:tcPr>
            <w:tcW w:w="250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总迁移量（乙醇或水）</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GB 4806.7-2016 4.3.1</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11</w:t>
            </w:r>
          </w:p>
        </w:tc>
        <w:tc>
          <w:tcPr>
            <w:tcW w:w="250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总迁移量（植物油或化学溶剂替代物）</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GB 4806.7-2016 4.3.1</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12</w:t>
            </w:r>
          </w:p>
        </w:tc>
        <w:tc>
          <w:tcPr>
            <w:tcW w:w="250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高锰酸钾消耗量</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GB 4806.7-2016 4.3.1</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13</w:t>
            </w:r>
          </w:p>
        </w:tc>
        <w:tc>
          <w:tcPr>
            <w:tcW w:w="250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重金属（以Pb计）</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GB 4806.7-2016 4.3.1</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14</w:t>
            </w:r>
          </w:p>
        </w:tc>
        <w:tc>
          <w:tcPr>
            <w:tcW w:w="250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脱色试验</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GB 4806.7-2016 4.3.1</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15</w:t>
            </w:r>
          </w:p>
        </w:tc>
        <w:tc>
          <w:tcPr>
            <w:tcW w:w="250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单体及其他起始物的特定迁移限量、特定迁移限量总量、最大残留量等理化指标</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GB 4806.7-2016中4.3.2</w:t>
            </w:r>
          </w:p>
          <w:p>
            <w:pPr>
              <w:pStyle w:val="2"/>
              <w:adjustRightInd w:val="0"/>
              <w:snapToGrid w:val="0"/>
              <w:jc w:val="center"/>
              <w:rPr>
                <w:rFonts w:hAnsi="宋体"/>
              </w:rPr>
            </w:pPr>
            <w:r>
              <w:rPr>
                <w:rFonts w:hint="eastAsia" w:hAnsi="宋体"/>
              </w:rPr>
              <w:t>GB 4806.6-2016附录A及相关公告</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16</w:t>
            </w:r>
          </w:p>
        </w:tc>
        <w:tc>
          <w:tcPr>
            <w:tcW w:w="250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标签标识</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GB 4806.8-2016 5.3</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w:t>
            </w:r>
          </w:p>
        </w:tc>
      </w:tr>
    </w:tbl>
    <w:p>
      <w:pPr>
        <w:adjustRightInd w:val="0"/>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执行企业标准、团体标准、地方标准的产品，检验项目参照上述内容执行。</w:t>
      </w:r>
    </w:p>
    <w:p>
      <w:pPr>
        <w:adjustRightInd w:val="0"/>
        <w:snapToGrid w:val="0"/>
        <w:spacing w:line="440" w:lineRule="exact"/>
        <w:ind w:firstLine="420" w:firstLineChars="200"/>
        <w:rPr>
          <w:rFonts w:ascii="Times New Roman" w:hAnsi="Times New Roman"/>
          <w:color w:val="000000"/>
          <w:szCs w:val="21"/>
        </w:rPr>
      </w:pPr>
      <w:r>
        <w:rPr>
          <w:rFonts w:hint="eastAsia" w:hAnsi="宋体"/>
        </w:rPr>
        <w:t>当产品标注的产品标准编号明显不适用抽查产品时，</w:t>
      </w:r>
      <w:r>
        <w:rPr>
          <w:rFonts w:hint="eastAsia" w:ascii="Times New Roman" w:hAnsi="Times New Roman"/>
          <w:color w:val="000000"/>
          <w:szCs w:val="21"/>
        </w:rPr>
        <w:t>检验项目参照上述内容执行。</w:t>
      </w:r>
    </w:p>
    <w:p>
      <w:pPr>
        <w:adjustRightInd w:val="0"/>
        <w:snapToGrid w:val="0"/>
        <w:spacing w:line="440" w:lineRule="exact"/>
        <w:ind w:firstLine="420" w:firstLineChars="200"/>
        <w:rPr>
          <w:rFonts w:ascii="Times New Roman" w:hAnsi="Times New Roman"/>
          <w:color w:val="000000"/>
          <w:szCs w:val="21"/>
        </w:rPr>
      </w:pPr>
    </w:p>
    <w:p>
      <w:pPr>
        <w:adjustRightInd w:val="0"/>
        <w:snapToGrid w:val="0"/>
        <w:spacing w:line="440" w:lineRule="exact"/>
        <w:rPr>
          <w:rFonts w:ascii="Times New Roman" w:hAnsi="Times New Roman" w:eastAsia="黑体"/>
          <w:color w:val="000000"/>
          <w:szCs w:val="21"/>
        </w:rPr>
      </w:pPr>
      <w:r>
        <w:rPr>
          <w:rFonts w:ascii="Times New Roman" w:hAnsi="Times New Roman" w:eastAsia="黑体"/>
          <w:color w:val="000000"/>
          <w:szCs w:val="21"/>
        </w:rPr>
        <w:t xml:space="preserve">3 </w:t>
      </w:r>
      <w:r>
        <w:rPr>
          <w:rFonts w:hint="eastAsia" w:ascii="Times New Roman" w:hAnsi="Times New Roman" w:eastAsia="黑体"/>
          <w:color w:val="000000"/>
          <w:szCs w:val="21"/>
        </w:rPr>
        <w:t>判定规则</w:t>
      </w:r>
    </w:p>
    <w:p>
      <w:pPr>
        <w:adjustRightInd w:val="0"/>
        <w:snapToGrid w:val="0"/>
        <w:spacing w:line="440" w:lineRule="exact"/>
        <w:rPr>
          <w:rFonts w:ascii="Times New Roman" w:hAnsi="Times New Roman"/>
          <w:color w:val="000000"/>
          <w:szCs w:val="21"/>
        </w:rPr>
      </w:pPr>
      <w:r>
        <w:rPr>
          <w:rFonts w:ascii="Times New Roman" w:hAnsi="Times New Roman"/>
          <w:color w:val="000000"/>
          <w:szCs w:val="21"/>
        </w:rPr>
        <w:t>3.1</w:t>
      </w:r>
      <w:r>
        <w:rPr>
          <w:rFonts w:hint="eastAsia" w:ascii="Times New Roman" w:hAnsi="Times New Roman"/>
          <w:color w:val="000000"/>
          <w:szCs w:val="21"/>
        </w:rPr>
        <w:t>依据标准</w:t>
      </w:r>
    </w:p>
    <w:p>
      <w:pPr>
        <w:adjustRightInd w:val="0"/>
        <w:snapToGrid w:val="0"/>
        <w:spacing w:line="440" w:lineRule="exact"/>
        <w:ind w:left="359" w:leftChars="171"/>
        <w:rPr>
          <w:rFonts w:ascii="Times New Roman" w:hAnsi="Times New Roman"/>
          <w:szCs w:val="21"/>
        </w:rPr>
      </w:pPr>
      <w:r>
        <w:rPr>
          <w:rFonts w:hint="eastAsia" w:ascii="Times New Roman" w:hAnsi="Times New Roman"/>
          <w:szCs w:val="21"/>
        </w:rPr>
        <w:t>GB 4806.8-2016食品安全国家标准食品接触用纸和纸板材料及制品</w:t>
      </w:r>
    </w:p>
    <w:p>
      <w:pPr>
        <w:adjustRightInd w:val="0"/>
        <w:snapToGrid w:val="0"/>
        <w:spacing w:line="440" w:lineRule="exact"/>
        <w:ind w:left="359" w:leftChars="171"/>
        <w:rPr>
          <w:rFonts w:ascii="Times New Roman" w:hAnsi="Times New Roman"/>
          <w:szCs w:val="21"/>
        </w:rPr>
      </w:pPr>
      <w:r>
        <w:rPr>
          <w:rFonts w:hint="eastAsia" w:ascii="Times New Roman" w:hAnsi="Times New Roman"/>
          <w:szCs w:val="21"/>
        </w:rPr>
        <w:t>GB 4806.7-2016食品安全国家标准食品接触用塑料材料及制品</w:t>
      </w:r>
    </w:p>
    <w:p>
      <w:pPr>
        <w:adjustRightInd w:val="0"/>
        <w:snapToGrid w:val="0"/>
        <w:spacing w:line="440" w:lineRule="exact"/>
        <w:ind w:left="359" w:leftChars="171"/>
        <w:rPr>
          <w:rFonts w:ascii="Times New Roman" w:hAnsi="Times New Roman"/>
          <w:szCs w:val="21"/>
        </w:rPr>
      </w:pPr>
      <w:r>
        <w:rPr>
          <w:rFonts w:hint="eastAsia" w:ascii="Times New Roman" w:hAnsi="Times New Roman"/>
          <w:szCs w:val="21"/>
        </w:rPr>
        <w:t>《中华人民共和国产品质量法》</w:t>
      </w:r>
    </w:p>
    <w:p>
      <w:pPr>
        <w:adjustRightInd w:val="0"/>
        <w:snapToGrid w:val="0"/>
        <w:spacing w:line="440" w:lineRule="exact"/>
        <w:ind w:left="359" w:leftChars="171"/>
        <w:rPr>
          <w:rStyle w:val="10"/>
          <w:rFonts w:hint="default" w:ascii="Times New Roman" w:hAnsi="Times New Roman"/>
          <w:szCs w:val="21"/>
        </w:rPr>
      </w:pPr>
      <w:r>
        <w:rPr>
          <w:rFonts w:hint="eastAsia" w:ascii="Times New Roman" w:hAnsi="Times New Roman"/>
          <w:szCs w:val="21"/>
        </w:rPr>
        <w:t>产品明示质量指标及国家法律、法规、规章的有关规定</w:t>
      </w:r>
    </w:p>
    <w:p>
      <w:pPr>
        <w:adjustRightInd w:val="0"/>
        <w:snapToGrid w:val="0"/>
        <w:spacing w:line="440" w:lineRule="exact"/>
      </w:pPr>
      <w:r>
        <w:rPr>
          <w:rFonts w:ascii="Times New Roman" w:hAnsi="Times New Roman"/>
          <w:color w:val="000000"/>
          <w:szCs w:val="21"/>
        </w:rPr>
        <w:t>3.2</w:t>
      </w:r>
      <w:r>
        <w:rPr>
          <w:rFonts w:hint="eastAsia" w:ascii="Times New Roman" w:hAnsi="Times New Roman"/>
          <w:color w:val="000000"/>
          <w:szCs w:val="21"/>
        </w:rPr>
        <w:t>判定原则</w:t>
      </w:r>
    </w:p>
    <w:p>
      <w:pPr>
        <w:adjustRightInd w:val="0"/>
        <w:snapToGrid w:val="0"/>
        <w:spacing w:line="440" w:lineRule="exact"/>
        <w:rPr>
          <w:rFonts w:ascii="Times New Roman" w:hAnsi="Times New Roman"/>
          <w:color w:val="000000"/>
          <w:szCs w:val="21"/>
        </w:rPr>
      </w:pPr>
      <w:r>
        <w:rPr>
          <w:rFonts w:ascii="Times New Roman" w:hAnsi="Times New Roman"/>
          <w:color w:val="000000"/>
          <w:szCs w:val="21"/>
        </w:rPr>
        <w:t>3.2.1</w:t>
      </w:r>
      <w:r>
        <w:rPr>
          <w:rFonts w:hint="eastAsia" w:ascii="Times New Roman" w:hAnsi="Times New Roman"/>
          <w:color w:val="000000"/>
          <w:szCs w:val="21"/>
        </w:rPr>
        <w:t>判定总则</w:t>
      </w:r>
    </w:p>
    <w:p>
      <w:pPr>
        <w:adjustRightInd w:val="0"/>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经检验，检验项目全部合格，判定为被抽查产品合格；检验项目中任一项或一项以上不合格，判定为被抽查产品不合格。</w:t>
      </w:r>
    </w:p>
    <w:p>
      <w:pPr>
        <w:adjustRightInd w:val="0"/>
        <w:snapToGrid w:val="0"/>
        <w:spacing w:line="440" w:lineRule="exact"/>
        <w:ind w:firstLine="417" w:firstLineChars="199"/>
        <w:rPr>
          <w:rFonts w:ascii="Times New Roman" w:hAnsi="Times New Roman"/>
          <w:color w:val="000000"/>
          <w:szCs w:val="21"/>
        </w:rPr>
      </w:pPr>
      <w:r>
        <w:rPr>
          <w:rFonts w:hint="eastAsia" w:ascii="Times New Roman" w:hAnsi="Times New Roman"/>
          <w:color w:val="000000"/>
          <w:szCs w:val="21"/>
        </w:rPr>
        <w:t>若被检产品明示的质量要求高于本细则中检验项目依据的标准要求时，应按被检产品明示的质量要求判定。</w:t>
      </w:r>
    </w:p>
    <w:p>
      <w:pPr>
        <w:adjustRightInd w:val="0"/>
        <w:snapToGrid w:val="0"/>
        <w:spacing w:line="440" w:lineRule="exact"/>
        <w:ind w:firstLine="417" w:firstLineChars="199"/>
        <w:rPr>
          <w:rFonts w:ascii="Times New Roman" w:hAnsi="Times New Roman"/>
          <w:color w:val="000000"/>
          <w:szCs w:val="21"/>
        </w:rPr>
      </w:pPr>
      <w:r>
        <w:rPr>
          <w:rFonts w:hint="eastAsia" w:ascii="Times New Roman" w:hAnsi="Times New Roman"/>
          <w:color w:val="000000"/>
          <w:szCs w:val="21"/>
        </w:rPr>
        <w:t>若被检产品明示的质量要求低于本细则中检验项目依据的强制性标准要求时，应按照强制性标准要求判定。</w:t>
      </w:r>
    </w:p>
    <w:p>
      <w:pPr>
        <w:adjustRightInd w:val="0"/>
        <w:snapToGrid w:val="0"/>
        <w:spacing w:line="440" w:lineRule="exact"/>
        <w:ind w:firstLine="417" w:firstLineChars="199"/>
        <w:rPr>
          <w:rFonts w:ascii="Times New Roman" w:hAnsi="Times New Roman"/>
          <w:color w:val="000000"/>
          <w:szCs w:val="21"/>
        </w:rPr>
      </w:pPr>
      <w:r>
        <w:rPr>
          <w:rFonts w:hint="eastAsia" w:ascii="Times New Roman" w:hAnsi="Times New Roman"/>
          <w:color w:val="000000"/>
          <w:szCs w:val="21"/>
        </w:rPr>
        <w:t>若被检产品明示的质量要求缺少本细则中检验项目依据的强制性标准要求时，应按照强制性标准要求判定。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3D8E"/>
    <w:rsid w:val="00006069"/>
    <w:rsid w:val="001274D0"/>
    <w:rsid w:val="00161203"/>
    <w:rsid w:val="00263D8E"/>
    <w:rsid w:val="00374E00"/>
    <w:rsid w:val="00697FFA"/>
    <w:rsid w:val="00745DDF"/>
    <w:rsid w:val="00941F04"/>
    <w:rsid w:val="00AE1AAD"/>
    <w:rsid w:val="00E90533"/>
    <w:rsid w:val="00F27A06"/>
    <w:rsid w:val="EBB70F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nhideWhenUsed/>
    <w:qFormat/>
    <w:uiPriority w:val="0"/>
    <w:rPr>
      <w:rFonts w:ascii="宋体" w:hAnsi="Courier New" w:cs="Courier New"/>
      <w:szCs w:val="21"/>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纯文本 Char"/>
    <w:basedOn w:val="6"/>
    <w:link w:val="2"/>
    <w:qFormat/>
    <w:uiPriority w:val="0"/>
    <w:rPr>
      <w:rFonts w:ascii="宋体" w:hAnsi="Courier New" w:eastAsia="宋体" w:cs="Courier New"/>
      <w:szCs w:val="21"/>
    </w:rPr>
  </w:style>
  <w:style w:type="character" w:customStyle="1" w:styleId="10">
    <w:name w:val="fontstyle01"/>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HZJ</Company>
  <Pages>3</Pages>
  <Words>205</Words>
  <Characters>1170</Characters>
  <Lines>9</Lines>
  <Paragraphs>2</Paragraphs>
  <TotalTime>12</TotalTime>
  <ScaleCrop>false</ScaleCrop>
  <LinksUpToDate>false</LinksUpToDate>
  <CharactersWithSpaces>1373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2022-02-09T09:40:00Z</dcterms:created>
  <dc:creator>Administrator</dc:creator>
  <cp:lastModifiedBy>user</cp:lastModifiedBy>
  <dcterms:modified xsi:type="dcterms:W3CDTF">2022-02-10T10:00:21Z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