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方正小标宋简体" w:cs="方正仿宋简体"/>
          <w:color w:val="000000"/>
          <w:sz w:val="32"/>
          <w:szCs w:val="32"/>
        </w:rPr>
      </w:pPr>
      <w:bookmarkStart w:id="0" w:name="_GoBack"/>
      <w:r>
        <w:rPr>
          <w:rFonts w:hint="eastAsia" w:ascii="Times New Roman" w:hAnsi="Times New Roman" w:eastAsia="方正小标宋简体" w:cs="方正仿宋简体"/>
          <w:color w:val="000000"/>
          <w:sz w:val="32"/>
          <w:szCs w:val="32"/>
          <w:lang w:val="en-US" w:eastAsia="zh-CN"/>
        </w:rPr>
        <w:t>2022年</w:t>
      </w:r>
      <w:r>
        <w:rPr>
          <w:rFonts w:hint="eastAsia" w:ascii="Times New Roman" w:hAnsi="Times New Roman" w:eastAsia="方正小标宋简体" w:cs="方正仿宋简体"/>
          <w:color w:val="000000"/>
          <w:sz w:val="32"/>
          <w:szCs w:val="32"/>
        </w:rPr>
        <w:t>杭州市金属餐厨具（含儿童餐具等）产品质量监督抽查实施细则</w:t>
      </w:r>
    </w:p>
    <w:bookmarkEnd w:id="0"/>
    <w:p>
      <w:pPr>
        <w:adjustRightInd w:val="0"/>
        <w:snapToGrid w:val="0"/>
        <w:spacing w:line="440" w:lineRule="exact"/>
        <w:rPr>
          <w:rFonts w:ascii="Times New Roman" w:hAnsi="Times New Roman" w:eastAsia="黑体"/>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1 </w:t>
      </w:r>
      <w:r>
        <w:rPr>
          <w:rFonts w:hint="eastAsia" w:ascii="Times New Roman" w:hAnsi="Times New Roman" w:eastAsia="黑体"/>
          <w:color w:val="000000"/>
          <w:szCs w:val="21"/>
        </w:rPr>
        <w:t>抽样方法</w:t>
      </w:r>
    </w:p>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以随机抽样的方式在被抽样生产者、销售者的待销产品中抽取。</w:t>
      </w:r>
    </w:p>
    <w:p>
      <w:pPr>
        <w:adjustRightInd w:val="0"/>
        <w:snapToGrid w:val="0"/>
        <w:ind w:firstLine="420" w:firstLineChars="200"/>
        <w:jc w:val="center"/>
        <w:rPr>
          <w:rFonts w:ascii="宋体" w:hAnsi="宋体"/>
          <w:szCs w:val="21"/>
        </w:rPr>
      </w:pPr>
      <w:r>
        <w:rPr>
          <w:rFonts w:hint="eastAsia" w:ascii="宋体" w:hAnsi="宋体"/>
          <w:szCs w:val="21"/>
        </w:rPr>
        <w:t>表1 抽样数量</w:t>
      </w:r>
    </w:p>
    <w:tbl>
      <w:tblPr>
        <w:tblStyle w:val="5"/>
        <w:tblW w:w="9195" w:type="dxa"/>
        <w:jc w:val="center"/>
        <w:tblLayout w:type="fixed"/>
        <w:tblCellMar>
          <w:top w:w="0" w:type="dxa"/>
          <w:left w:w="45" w:type="dxa"/>
          <w:bottom w:w="0" w:type="dxa"/>
          <w:right w:w="45" w:type="dxa"/>
        </w:tblCellMar>
      </w:tblPr>
      <w:tblGrid>
        <w:gridCol w:w="537"/>
        <w:gridCol w:w="1459"/>
        <w:gridCol w:w="2175"/>
        <w:gridCol w:w="2550"/>
        <w:gridCol w:w="2474"/>
      </w:tblGrid>
      <w:tr>
        <w:tblPrEx>
          <w:tblCellMar>
            <w:top w:w="0" w:type="dxa"/>
            <w:left w:w="45" w:type="dxa"/>
            <w:bottom w:w="0" w:type="dxa"/>
            <w:right w:w="45" w:type="dxa"/>
          </w:tblCellMar>
        </w:tblPrEx>
        <w:trPr>
          <w:trHeight w:val="567" w:hRule="atLeast"/>
          <w:jc w:val="center"/>
        </w:trPr>
        <w:tc>
          <w:tcPr>
            <w:tcW w:w="537"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序号</w:t>
            </w:r>
          </w:p>
        </w:tc>
        <w:tc>
          <w:tcPr>
            <w:tcW w:w="1459"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产品种类</w:t>
            </w:r>
          </w:p>
        </w:tc>
        <w:tc>
          <w:tcPr>
            <w:tcW w:w="2175"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抽样数量（</w:t>
            </w:r>
            <w:r>
              <w:rPr>
                <w:rFonts w:hint="eastAsia" w:ascii="Times New Roman" w:hAnsi="Times New Roman"/>
                <w:color w:val="000000"/>
                <w:szCs w:val="21"/>
              </w:rPr>
              <w:t>个）</w:t>
            </w:r>
          </w:p>
        </w:tc>
        <w:tc>
          <w:tcPr>
            <w:tcW w:w="2550"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color w:val="000000"/>
                <w:szCs w:val="21"/>
              </w:rPr>
              <w:t>检验样品数量（个）</w:t>
            </w:r>
          </w:p>
        </w:tc>
        <w:tc>
          <w:tcPr>
            <w:tcW w:w="2474"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
                <w:color w:val="000000"/>
                <w:szCs w:val="21"/>
              </w:rPr>
            </w:pPr>
            <w:r>
              <w:rPr>
                <w:rFonts w:hint="eastAsia" w:ascii="Times New Roman" w:hAnsi="Times New Roman"/>
                <w:color w:val="000000"/>
                <w:szCs w:val="21"/>
              </w:rPr>
              <w:t>备用样品数量（个）</w:t>
            </w:r>
          </w:p>
        </w:tc>
      </w:tr>
      <w:tr>
        <w:tblPrEx>
          <w:tblCellMar>
            <w:top w:w="0" w:type="dxa"/>
            <w:left w:w="45" w:type="dxa"/>
            <w:bottom w:w="0" w:type="dxa"/>
            <w:right w:w="45" w:type="dxa"/>
          </w:tblCellMar>
        </w:tblPrEx>
        <w:trPr>
          <w:trHeight w:val="567" w:hRule="atLeast"/>
          <w:jc w:val="center"/>
        </w:trPr>
        <w:tc>
          <w:tcPr>
            <w:tcW w:w="537"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1459"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金属餐厨具（含儿童餐具等）</w:t>
            </w:r>
          </w:p>
        </w:tc>
        <w:tc>
          <w:tcPr>
            <w:tcW w:w="2175"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w:t>
            </w:r>
          </w:p>
        </w:tc>
        <w:tc>
          <w:tcPr>
            <w:tcW w:w="2550"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2474"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r>
      <w:tr>
        <w:tblPrEx>
          <w:tblCellMar>
            <w:top w:w="0" w:type="dxa"/>
            <w:left w:w="45" w:type="dxa"/>
            <w:bottom w:w="0" w:type="dxa"/>
            <w:right w:w="45" w:type="dxa"/>
          </w:tblCellMar>
        </w:tblPrEx>
        <w:trPr>
          <w:trHeight w:val="567" w:hRule="atLeast"/>
          <w:jc w:val="center"/>
        </w:trPr>
        <w:tc>
          <w:tcPr>
            <w:tcW w:w="9195" w:type="dxa"/>
            <w:gridSpan w:val="5"/>
            <w:tcBorders>
              <w:top w:val="single" w:color="000000" w:sz="2" w:space="0"/>
              <w:left w:val="single" w:color="000000" w:sz="6" w:space="0"/>
              <w:bottom w:val="single" w:color="000000" w:sz="6" w:space="0"/>
              <w:right w:val="single" w:color="000000" w:sz="6" w:space="0"/>
            </w:tcBorders>
            <w:vAlign w:val="center"/>
          </w:tcPr>
          <w:p>
            <w:pPr>
              <w:adjustRightInd w:val="0"/>
              <w:snapToGrid w:val="0"/>
              <w:rPr>
                <w:rFonts w:ascii="Times New Roman" w:hAnsi="Times New Roman"/>
                <w:color w:val="000000"/>
                <w:szCs w:val="21"/>
              </w:rPr>
            </w:pPr>
            <w:r>
              <w:rPr>
                <w:rFonts w:hint="eastAsia" w:ascii="Times New Roman" w:hAnsi="Times New Roman"/>
                <w:color w:val="000000"/>
                <w:szCs w:val="21"/>
              </w:rPr>
              <w:t>注：如样品过小，可适当增加抽样数量，但不得超过检验、复检的合理需要。</w:t>
            </w:r>
          </w:p>
        </w:tc>
      </w:tr>
    </w:tbl>
    <w:p>
      <w:pPr>
        <w:adjustRightInd w:val="0"/>
        <w:snapToGrid w:val="0"/>
        <w:spacing w:line="440" w:lineRule="exact"/>
        <w:rPr>
          <w:rFonts w:hint="eastAsia" w:ascii="Times New Roman" w:hAnsi="Times New Roman"/>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2 </w:t>
      </w:r>
      <w:r>
        <w:rPr>
          <w:rFonts w:hint="eastAsia" w:ascii="Times New Roman" w:hAnsi="Times New Roman" w:eastAsia="黑体"/>
          <w:color w:val="000000"/>
          <w:szCs w:val="21"/>
        </w:rPr>
        <w:t>检验依据</w:t>
      </w:r>
    </w:p>
    <w:p>
      <w:pPr>
        <w:pStyle w:val="2"/>
        <w:adjustRightInd w:val="0"/>
        <w:snapToGrid w:val="0"/>
        <w:spacing w:line="264" w:lineRule="auto"/>
        <w:rPr>
          <w:rFonts w:hAnsi="宋体"/>
        </w:rPr>
      </w:pPr>
    </w:p>
    <w:p>
      <w:pPr>
        <w:pStyle w:val="2"/>
        <w:adjustRightInd w:val="0"/>
        <w:snapToGrid w:val="0"/>
        <w:spacing w:line="240" w:lineRule="exact"/>
        <w:jc w:val="center"/>
        <w:rPr>
          <w:rFonts w:hint="eastAsia" w:hAnsi="宋体"/>
        </w:rPr>
      </w:pPr>
      <w:r>
        <w:rPr>
          <w:rFonts w:hint="eastAsia" w:hAnsi="宋体"/>
        </w:rPr>
        <w:t>表2</w:t>
      </w:r>
      <w:r>
        <w:rPr>
          <w:rFonts w:hint="eastAsia" w:ascii="Times New Roman" w:hAnsi="Times New Roman"/>
          <w:color w:val="000000"/>
        </w:rPr>
        <w:t>金属餐厨具（含儿童餐具等）</w:t>
      </w:r>
    </w:p>
    <w:tbl>
      <w:tblPr>
        <w:tblStyle w:val="5"/>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504"/>
        <w:gridCol w:w="2545"/>
        <w:gridCol w:w="851"/>
        <w:gridCol w:w="708"/>
        <w:gridCol w:w="11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序号</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检验项目</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标准条款</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不合格类别</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color w:val="000000"/>
              </w:rPr>
              <w:t>项目设定</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复检用</w:t>
            </w:r>
          </w:p>
          <w:p>
            <w:pPr>
              <w:pStyle w:val="2"/>
              <w:adjustRightInd w:val="0"/>
              <w:snapToGrid w:val="0"/>
              <w:jc w:val="center"/>
              <w:rPr>
                <w:rFonts w:hAnsi="宋体"/>
              </w:rPr>
            </w:pPr>
            <w:r>
              <w:rPr>
                <w:rFonts w:hint="eastAsia" w:hAnsi="宋体"/>
              </w:rPr>
              <w:t>样品</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感官要求</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4806.9-2016 4.2</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2</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砷</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31604.38-2016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3</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镉</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31604.24-2016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4</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铅</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31604.34-2016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5</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铬</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31604.25-2016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sz w:val="18"/>
                <w:szCs w:val="18"/>
              </w:rPr>
            </w:pPr>
            <w:r>
              <w:rPr>
                <w:rFonts w:hint="eastAsia" w:hAnsi="宋体"/>
                <w:sz w:val="18"/>
                <w:szCs w:val="18"/>
              </w:rPr>
              <w:t>马氏体不锈钢制品不检测铬指标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6</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镍</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31604.33-2016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bl>
    <w:p>
      <w:pPr>
        <w:adjustRightInd w:val="0"/>
        <w:snapToGrid w:val="0"/>
        <w:spacing w:line="440" w:lineRule="exact"/>
        <w:ind w:firstLine="420" w:firstLineChars="200"/>
        <w:rPr>
          <w:rFonts w:hint="eastAsia" w:ascii="Times New Roman" w:hAnsi="Times New Roman"/>
          <w:color w:val="000000"/>
          <w:szCs w:val="21"/>
        </w:rPr>
      </w:pPr>
      <w:r>
        <w:rPr>
          <w:rFonts w:hint="eastAsia" w:ascii="Times New Roman" w:hAnsi="Times New Roman"/>
          <w:color w:val="000000"/>
          <w:szCs w:val="21"/>
        </w:rPr>
        <w:t>执行企业标准、团体标准、地方标准的产品，检验项目参照上述内容执行。</w:t>
      </w:r>
    </w:p>
    <w:p>
      <w:pPr>
        <w:adjustRightInd w:val="0"/>
        <w:snapToGrid w:val="0"/>
        <w:spacing w:line="440" w:lineRule="exact"/>
        <w:ind w:firstLine="420" w:firstLineChars="200"/>
        <w:rPr>
          <w:rFonts w:ascii="Times New Roman" w:hAnsi="Times New Roman"/>
          <w:color w:val="000000"/>
          <w:szCs w:val="21"/>
        </w:rPr>
      </w:pPr>
      <w:r>
        <w:rPr>
          <w:rFonts w:hint="eastAsia" w:hAnsi="宋体"/>
        </w:rPr>
        <w:t>当产品标注的产品标准编号明显不适用抽查产品时，</w:t>
      </w:r>
      <w:r>
        <w:rPr>
          <w:rFonts w:hint="eastAsia" w:ascii="Times New Roman" w:hAnsi="Times New Roman"/>
          <w:color w:val="000000"/>
          <w:szCs w:val="21"/>
        </w:rPr>
        <w:t>检验项目参照上述内容执行。</w:t>
      </w:r>
    </w:p>
    <w:p>
      <w:pPr>
        <w:adjustRightInd w:val="0"/>
        <w:snapToGrid w:val="0"/>
        <w:spacing w:line="440" w:lineRule="exact"/>
        <w:ind w:firstLine="420" w:firstLineChars="200"/>
        <w:rPr>
          <w:rFonts w:ascii="Times New Roman" w:hAnsi="Times New Roman"/>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3 </w:t>
      </w:r>
      <w:r>
        <w:rPr>
          <w:rFonts w:hint="eastAsia" w:ascii="Times New Roman" w:hAnsi="Times New Roman" w:eastAsia="黑体"/>
          <w:color w:val="000000"/>
          <w:szCs w:val="21"/>
        </w:rPr>
        <w:t>判定规则</w:t>
      </w:r>
    </w:p>
    <w:p>
      <w:pPr>
        <w:adjustRightInd w:val="0"/>
        <w:snapToGrid w:val="0"/>
        <w:spacing w:line="440" w:lineRule="exact"/>
        <w:rPr>
          <w:rFonts w:ascii="Times New Roman" w:hAnsi="Times New Roman"/>
          <w:color w:val="000000"/>
          <w:szCs w:val="21"/>
        </w:rPr>
      </w:pPr>
      <w:r>
        <w:rPr>
          <w:rFonts w:ascii="Times New Roman" w:hAnsi="Times New Roman"/>
          <w:color w:val="000000"/>
          <w:szCs w:val="21"/>
        </w:rPr>
        <w:t>3.1</w:t>
      </w:r>
      <w:r>
        <w:rPr>
          <w:rFonts w:hint="eastAsia" w:ascii="Times New Roman" w:hAnsi="Times New Roman"/>
          <w:color w:val="000000"/>
          <w:szCs w:val="21"/>
        </w:rPr>
        <w:t>依据标准</w:t>
      </w:r>
    </w:p>
    <w:p>
      <w:pPr>
        <w:adjustRightInd w:val="0"/>
        <w:snapToGrid w:val="0"/>
        <w:spacing w:line="440" w:lineRule="exact"/>
        <w:ind w:left="359" w:leftChars="171"/>
        <w:rPr>
          <w:rFonts w:ascii="Times New Roman" w:hAnsi="Times New Roman"/>
          <w:szCs w:val="21"/>
        </w:rPr>
      </w:pPr>
      <w:r>
        <w:rPr>
          <w:rFonts w:ascii="Times New Roman" w:hAnsi="Times New Roman"/>
          <w:szCs w:val="21"/>
        </w:rPr>
        <w:t xml:space="preserve">GB 4806.9-2016  </w:t>
      </w:r>
      <w:r>
        <w:rPr>
          <w:rFonts w:hint="eastAsia" w:ascii="Times New Roman" w:hAnsi="Times New Roman"/>
          <w:szCs w:val="21"/>
        </w:rPr>
        <w:t>食品安全国家标准</w:t>
      </w:r>
      <w:r>
        <w:rPr>
          <w:rFonts w:ascii="Times New Roman" w:hAnsi="Times New Roman"/>
          <w:szCs w:val="21"/>
        </w:rPr>
        <w:t xml:space="preserve"> </w:t>
      </w:r>
      <w:r>
        <w:rPr>
          <w:rFonts w:hint="eastAsia" w:ascii="Times New Roman" w:hAnsi="Times New Roman"/>
          <w:szCs w:val="21"/>
        </w:rPr>
        <w:t>食品接触用金属材料及制品</w:t>
      </w:r>
    </w:p>
    <w:p>
      <w:pPr>
        <w:adjustRightInd w:val="0"/>
        <w:snapToGrid w:val="0"/>
        <w:spacing w:line="440" w:lineRule="exact"/>
        <w:ind w:left="359" w:leftChars="171"/>
        <w:rPr>
          <w:rFonts w:ascii="Times New Roman" w:hAnsi="Times New Roman"/>
          <w:szCs w:val="21"/>
        </w:rPr>
      </w:pPr>
      <w:r>
        <w:rPr>
          <w:rFonts w:hint="eastAsia" w:ascii="Times New Roman" w:hAnsi="Times New Roman"/>
          <w:szCs w:val="21"/>
        </w:rPr>
        <w:t>《中华人民共和国产品质量法》</w:t>
      </w:r>
    </w:p>
    <w:p>
      <w:pPr>
        <w:adjustRightInd w:val="0"/>
        <w:snapToGrid w:val="0"/>
        <w:spacing w:line="440" w:lineRule="exact"/>
        <w:ind w:left="359" w:leftChars="171"/>
        <w:rPr>
          <w:rStyle w:val="10"/>
          <w:rFonts w:hint="default" w:ascii="Times New Roman" w:hAnsi="Times New Roman"/>
          <w:szCs w:val="21"/>
        </w:rPr>
      </w:pPr>
      <w:r>
        <w:rPr>
          <w:rFonts w:hint="eastAsia" w:ascii="Times New Roman" w:hAnsi="Times New Roman"/>
          <w:szCs w:val="21"/>
        </w:rPr>
        <w:t>产品明示质量指标及国家法律、法规、规章的有关规定</w:t>
      </w:r>
    </w:p>
    <w:p>
      <w:pPr>
        <w:adjustRightInd w:val="0"/>
        <w:snapToGrid w:val="0"/>
        <w:spacing w:line="440" w:lineRule="exact"/>
      </w:pPr>
      <w:r>
        <w:rPr>
          <w:rFonts w:ascii="Times New Roman" w:hAnsi="Times New Roman"/>
          <w:color w:val="000000"/>
          <w:szCs w:val="21"/>
        </w:rPr>
        <w:t>3.2</w:t>
      </w:r>
      <w:r>
        <w:rPr>
          <w:rFonts w:hint="eastAsia" w:ascii="Times New Roman" w:hAnsi="Times New Roman"/>
          <w:color w:val="000000"/>
          <w:szCs w:val="21"/>
        </w:rPr>
        <w:t>判定原则</w:t>
      </w:r>
    </w:p>
    <w:p>
      <w:pPr>
        <w:adjustRightInd w:val="0"/>
        <w:snapToGrid w:val="0"/>
        <w:spacing w:line="440" w:lineRule="exact"/>
        <w:rPr>
          <w:rFonts w:ascii="Times New Roman" w:hAnsi="Times New Roman"/>
          <w:color w:val="000000"/>
          <w:szCs w:val="21"/>
        </w:rPr>
      </w:pPr>
      <w:r>
        <w:rPr>
          <w:rFonts w:ascii="Times New Roman" w:hAnsi="Times New Roman"/>
          <w:color w:val="000000"/>
          <w:szCs w:val="21"/>
        </w:rPr>
        <w:t>3.2.1</w:t>
      </w:r>
      <w:r>
        <w:rPr>
          <w:rFonts w:hint="eastAsia" w:ascii="Times New Roman" w:hAnsi="Times New Roman"/>
          <w:color w:val="000000"/>
          <w:szCs w:val="21"/>
        </w:rPr>
        <w:t>判定总则</w:t>
      </w:r>
    </w:p>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经检验，检验项目全部合格，判定为被抽查产品合格；检验项目中任一项或一项以上不合格，判定为被抽查产品不合格。</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若被检产品明示的质量要求缺少本细则中检验项目依据的强制性标准要求时，应按照强制性标准要求判定。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82"/>
    <w:rsid w:val="00163E16"/>
    <w:rsid w:val="00941F04"/>
    <w:rsid w:val="00BD6382"/>
    <w:rsid w:val="00F11527"/>
    <w:rsid w:val="00F27A06"/>
    <w:rsid w:val="75FF8B59"/>
    <w:rsid w:val="C63F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 w:type="character" w:customStyle="1" w:styleId="10">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HZJ</Company>
  <Pages>2</Pages>
  <Words>137</Words>
  <Characters>784</Characters>
  <Lines>6</Lines>
  <Paragraphs>1</Paragraphs>
  <TotalTime>0</TotalTime>
  <ScaleCrop>false</ScaleCrop>
  <LinksUpToDate>false</LinksUpToDate>
  <CharactersWithSpaces>920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2022-02-09T17:55:00Z</dcterms:created>
  <dc:creator>Administrator</dc:creator>
  <cp:lastModifiedBy>user</cp:lastModifiedBy>
  <dcterms:modified xsi:type="dcterms:W3CDTF">2022-02-10T10:06:54Z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