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pPr>
      <w:bookmarkStart w:id="8" w:name="_GoBack"/>
      <w:bookmarkEnd w:id="8"/>
      <w:r>
        <w:t xml:space="preserve"> </w:t>
      </w:r>
    </w:p>
    <w:p>
      <w:pPr>
        <w:pStyle w:val="4"/>
      </w:pPr>
    </w:p>
    <w:tbl>
      <w:tblPr>
        <w:tblStyle w:val="2"/>
        <w:tblW w:w="985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4" w:type="dxa"/>
            <w:tcBorders>
              <w:top w:val="nil"/>
              <w:left w:val="nil"/>
              <w:bottom w:val="nil"/>
              <w:right w:val="nil"/>
            </w:tcBorders>
            <w:vAlign w:val="top"/>
          </w:tcPr>
          <w:p>
            <w:pPr>
              <w:pStyle w:val="4"/>
            </w:pPr>
            <w:r>
              <mc:AlternateContent>
                <mc:Choice Requires="wps">
                  <w:drawing>
                    <wp:anchor distT="0" distB="0" distL="114300" distR="114300" simplePos="0" relativeHeight="251661312" behindDoc="1" locked="0" layoutInCell="1" allowOverlap="1">
                      <wp:simplePos x="0" y="0"/>
                      <wp:positionH relativeFrom="column">
                        <wp:posOffset>-66675</wp:posOffset>
                      </wp:positionH>
                      <wp:positionV relativeFrom="paragraph">
                        <wp:posOffset>0</wp:posOffset>
                      </wp:positionV>
                      <wp:extent cx="866775" cy="198120"/>
                      <wp:effectExtent l="0" t="0" r="9525" b="11430"/>
                      <wp:wrapNone/>
                      <wp:docPr id="6" name="矩形 6"/>
                      <wp:cNvGraphicFramePr/>
                      <a:graphic xmlns:a="http://schemas.openxmlformats.org/drawingml/2006/main">
                        <a:graphicData uri="http://schemas.microsoft.com/office/word/2010/wordprocessingShape">
                          <wps:wsp>
                            <wps:cNvSpPr/>
                            <wps:spPr>
                              <a:xfrm>
                                <a:off x="0" y="0"/>
                                <a:ext cx="866775" cy="198120"/>
                              </a:xfrm>
                              <a:prstGeom prst="rect">
                                <a:avLst/>
                              </a:prstGeom>
                              <a:solidFill>
                                <a:srgbClr val="FFFFFF"/>
                              </a:solidFill>
                              <a:ln w="9525">
                                <a:noFill/>
                              </a:ln>
                            </wps:spPr>
                            <wps:txbx>
                              <w:txbxContent>
                                <w:p/>
                              </w:txbxContent>
                            </wps:txbx>
                            <wps:bodyPr upright="1"/>
                          </wps:wsp>
                        </a:graphicData>
                      </a:graphic>
                    </wp:anchor>
                  </w:drawing>
                </mc:Choice>
                <mc:Fallback>
                  <w:pict>
                    <v:rect id="_x0000_s1026" o:spid="_x0000_s1026" o:spt="1" style="position:absolute;left:0pt;margin-left:-5.25pt;margin-top:0pt;height:15.6pt;width:68.25pt;z-index:-251655168;mso-width-relative:page;mso-height-relative:page;" fillcolor="#FFFFFF" filled="t" stroked="f" coordsize="21600,21600" o:gfxdata="UEsDBAoAAAAAAIdO4kAAAAAAAAAAAAAAAAAEAAAAZHJzL1BLAwQUAAAACACHTuJAyK4v7NUAAAAH&#10;AQAADwAAAGRycy9kb3ducmV2LnhtbE2PwW7CMBBE75X6D9ZW4gZ2QoloGodDJU6lhwIS1yVekqjx&#10;Oo0dSP++5tTeZjWjmbfFZrKduNLgW8cakoUCQVw503Kt4XjYztcgfEA22DkmDT/kYVM+PhSYG3fj&#10;T7ruQy1iCfscNTQh9LmUvmrIol+4njh6FzdYDPEcamkGvMVy28lUqUxabDkuNNjTW0PV1360GjB7&#10;Nt8fl+Xu8D5m+FJPars6Ka1nT4l6BRFoCn9huONHdCgj09mNbLzoNMwTtYpRDfGju51mUZw1LJMU&#10;ZFnI//zlL1BLAwQUAAAACACHTuJAxQ6gnL8BAAByAwAADgAAAGRycy9lMm9Eb2MueG1srVNLbtsw&#10;EN0X6B0I7mtZBqw4guUsYribog2Q9gA0RUoE+MOQtuTTFOiuh+hxil6jQ0p12nSTRbSgZsjHN/Pe&#10;SNu70WhyFhCUsw0tF0tKhOWuVbZr6JfPh3cbSkJktmXaWdHQiwj0bvf2zXbwtVi53ulWAEESG+rB&#10;N7SP0ddFEXgvDAsL54XFQ+nAsIgpdEULbEB2o4vVclkVg4PWg+MiBNzdT4d0ZoSXEDopFRd7x09G&#10;2DixgtAsoqTQKx/oLncrpeDxk5RBRKIbikpjXrEIxse0Frstqztgvld8boG9pIVnmgxTFoteqfYs&#10;MnIC9R+VURxccDIuuDPFJCQ7girK5TNvHnvmRdaCVgd/NT28Hi3/eH4AotqGVpRYZnDgv75+//nj&#10;G6mSN4MPNUIe/QPMWcAwCR0lmPRGCWTMfl6ufooxEo6bm6q6uVlTwvGovN2Uq+x38XTZQ4jvhTMk&#10;BQ0FHFd2kZ0/hIgFEfoHkmoFp1V7UFrnBLrjvQZyZjjaQ35Sx3jlH5i2ZGjo7Xq1zszWpfsTTluE&#10;J4WTphTF8TjOQo+uvaA1Jw+q67G5MrMnEI4i15k/mzTrv/NM+vSr7H4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yK4v7NUAAAAHAQAADwAAAAAAAAABACAAAAAiAAAAZHJzL2Rvd25yZXYueG1sUEsB&#10;AhQAFAAAAAgAh07iQMUOoJy/AQAAcgMAAA4AAAAAAAAAAQAgAAAAJAEAAGRycy9lMm9Eb2MueG1s&#10;UEsFBgAAAAAGAAYAWQEAAFUFAAAAAA==&#10;">
                      <v:fill on="t" focussize="0,0"/>
                      <v:stroke on="f"/>
                      <v:imagedata o:title=""/>
                      <o:lock v:ext="edit" aspectratio="f"/>
                      <v:textbox>
                        <w:txbxContent>
                          <w:p/>
                        </w:txbxContent>
                      </v:textbox>
                    </v:rect>
                  </w:pict>
                </mc:Fallback>
              </mc:AlternateContent>
            </w:r>
          </w:p>
        </w:tc>
      </w:tr>
    </w:tbl>
    <w:p>
      <w:pPr>
        <w:pStyle w:val="5"/>
      </w:pPr>
      <w:r>
        <w:t>DB</w:t>
      </w:r>
      <w:r>
        <w:rPr>
          <w:rFonts w:hint="eastAsia"/>
        </w:rPr>
        <w:t>3301</w:t>
      </w:r>
    </w:p>
    <w:p>
      <w:pPr>
        <w:pStyle w:val="7"/>
      </w:pPr>
      <w:r>
        <w:rPr>
          <w:rFonts w:hint="eastAsia"/>
        </w:rPr>
        <w:t>浙江省杭州市地方标准</w:t>
      </w:r>
    </w:p>
    <w:p>
      <w:pPr>
        <w:pStyle w:val="8"/>
        <w:rPr>
          <w:rFonts w:hAnsi="黑体"/>
        </w:rPr>
      </w:pPr>
      <w:r>
        <w:rPr>
          <w:rFonts w:ascii="Times New Roman"/>
        </w:rPr>
        <w:t xml:space="preserve">DB </w:t>
      </w:r>
      <w:r>
        <w:rPr>
          <w:rFonts w:hint="eastAsia" w:hAnsi="黑体"/>
        </w:rPr>
        <w:t>3301</w:t>
      </w:r>
      <w:r>
        <w:rPr>
          <w:rFonts w:hAnsi="黑体"/>
        </w:rPr>
        <w:t>/</w:t>
      </w:r>
      <w:r>
        <w:rPr>
          <w:rFonts w:hint="eastAsia" w:hAnsi="黑体"/>
        </w:rPr>
        <w:t>T</w:t>
      </w:r>
      <w:r>
        <w:rPr>
          <w:rFonts w:hAnsi="黑体"/>
        </w:rPr>
        <w:t xml:space="preserve"> </w:t>
      </w:r>
      <w:bookmarkStart w:id="0" w:name="StdNo1"/>
      <w:r>
        <w:rPr>
          <w:rFonts w:hAnsi="黑体"/>
        </w:rPr>
        <w:fldChar w:fldCharType="begin">
          <w:ffData>
            <w:name w:val="StdNo1"/>
            <w:enabled/>
            <w:calcOnExit w:val="0"/>
            <w:textInput>
              <w:default w:val="XXXXX"/>
            </w:textInput>
          </w:ffData>
        </w:fldChar>
      </w:r>
      <w:r>
        <w:rPr>
          <w:rFonts w:hAnsi="黑体"/>
        </w:rPr>
        <w:instrText xml:space="preserve"> FORMTEXT </w:instrText>
      </w:r>
      <w:r>
        <w:rPr>
          <w:rFonts w:hAnsi="黑体"/>
        </w:rPr>
        <w:fldChar w:fldCharType="separate"/>
      </w:r>
      <w:r>
        <w:rPr>
          <w:rFonts w:hAnsi="黑体"/>
        </w:rPr>
        <w:t>XXXXX</w:t>
      </w:r>
      <w:r>
        <w:rPr>
          <w:rFonts w:hAnsi="黑体"/>
        </w:rPr>
        <w:fldChar w:fldCharType="end"/>
      </w:r>
      <w:bookmarkEnd w:id="0"/>
      <w:r>
        <w:rPr>
          <w:rFonts w:hAnsi="黑体"/>
        </w:rPr>
        <w:t>—</w:t>
      </w:r>
      <w:r>
        <w:rPr>
          <w:rFonts w:hint="eastAsia" w:hAnsi="黑体"/>
        </w:rPr>
        <w:t>2020</w:t>
      </w:r>
    </w:p>
    <w:tbl>
      <w:tblPr>
        <w:tblStyle w:val="2"/>
        <w:tblW w:w="935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56" w:type="dxa"/>
            <w:tcBorders>
              <w:top w:val="nil"/>
              <w:left w:val="nil"/>
              <w:bottom w:val="nil"/>
              <w:right w:val="nil"/>
            </w:tcBorders>
            <w:vAlign w:val="top"/>
          </w:tcPr>
          <w:p>
            <w:pPr>
              <w:pStyle w:val="9"/>
            </w:pPr>
            <w:bookmarkStart w:id="1" w:name="DT"/>
            <w:r>
              <mc:AlternateContent>
                <mc:Choice Requires="wps">
                  <w:drawing>
                    <wp:anchor distT="0" distB="0" distL="114300" distR="114300" simplePos="0" relativeHeight="251658240" behindDoc="1" locked="0" layoutInCell="1" allowOverlap="1">
                      <wp:simplePos x="0" y="0"/>
                      <wp:positionH relativeFrom="column">
                        <wp:posOffset>4734560</wp:posOffset>
                      </wp:positionH>
                      <wp:positionV relativeFrom="paragraph">
                        <wp:posOffset>34290</wp:posOffset>
                      </wp:positionV>
                      <wp:extent cx="1143000" cy="228600"/>
                      <wp:effectExtent l="0" t="0" r="0" b="0"/>
                      <wp:wrapNone/>
                      <wp:docPr id="2" name="矩形 2"/>
                      <wp:cNvGraphicFramePr/>
                      <a:graphic xmlns:a="http://schemas.openxmlformats.org/drawingml/2006/main">
                        <a:graphicData uri="http://schemas.microsoft.com/office/word/2010/wordprocessingShape">
                          <wps:wsp>
                            <wps:cNvSpPr/>
                            <wps:spPr>
                              <a:xfrm>
                                <a:off x="0" y="0"/>
                                <a:ext cx="1143000" cy="228600"/>
                              </a:xfrm>
                              <a:prstGeom prst="rect">
                                <a:avLst/>
                              </a:prstGeom>
                              <a:solidFill>
                                <a:srgbClr val="FFFFFF"/>
                              </a:solidFill>
                              <a:ln w="9525">
                                <a:noFill/>
                              </a:ln>
                            </wps:spPr>
                            <wps:txbx>
                              <w:txbxContent>
                                <w:p/>
                              </w:txbxContent>
                            </wps:txbx>
                            <wps:bodyPr upright="1"/>
                          </wps:wsp>
                        </a:graphicData>
                      </a:graphic>
                    </wp:anchor>
                  </w:drawing>
                </mc:Choice>
                <mc:Fallback>
                  <w:pict>
                    <v:rect id="_x0000_s1026" o:spid="_x0000_s1026" o:spt="1" style="position:absolute;left:0pt;margin-left:372.8pt;margin-top:2.7pt;height:18pt;width:90pt;z-index:-251658240;mso-width-relative:page;mso-height-relative:page;" fillcolor="#FFFFFF" filled="t" stroked="f" coordsize="21600,21600" o:gfxdata="UEsDBAoAAAAAAIdO4kAAAAAAAAAAAAAAAAAEAAAAZHJzL1BLAwQUAAAACACHTuJAHmDyy9YAAAAI&#10;AQAADwAAAGRycy9kb3ducmV2LnhtbE2PMU/DMBSEdyT+g/WQ2KidkoQ2jdMBqRMw0CKxvsavSUT8&#10;HGKnDf8ed4LxdKe778rtbHtxptF3jjUkCwWCuHam40bDx2H3sALhA7LB3jFp+CEP2+r2psTCuAu/&#10;03kfGhFL2BeooQ1hKKT0dUsW/cINxNE7udFiiHJspBnxEsttL5dK5dJix3GhxYGeW6q/9pPVgHlq&#10;vt9Oj6+HlynHdTOrXfaptL6/S9QGRKA5/IXhih/RoYpMRzex8aLX8JRmeYxqyFIQ0V8vr/qoIU1S&#10;kFUp/x+ofgFQSwMEFAAAAAgAh07iQFoU48G8AQAAcwMAAA4AAABkcnMvZTJvRG9jLnhtbK2Tz47T&#10;MBDG70i8g+U7TRrY1RI13QNVuSBYadkHcB0nseR/mnGb9GmQuPEQPA7iNRg7oQvLZQ/k4Izt8c/z&#10;fZNsbidr2EkBau8avl6VnCknfatd3/CHz/tXN5xhFK4VxjvV8LNCfrt9+WIzhlpVfvCmVcAI4rAe&#10;Q8OHGENdFCgHZQWufFCONjsPVkSaQl+0IEaiW1NUZXldjB7aAF4qRFrdzZt8IcJzgL7rtFQ7L49W&#10;uThTQRkRSRIOOiDf5mq7Tsn4qetQRWYaTkpjHukSig9pLLYbUfcgwqDlUoJ4TglPNFmhHV16Qe1E&#10;FOwI+h+U1RI8+i6upLfFLCQ7QirW5RNv7gcRVNZCVmO4mI7/Dys/nu6A6bbhFWdOWGr4zy/ffnz/&#10;yqrkzRiwppT7cAfLDClMQqcObHqTBDZlP88XP9UUmaTF9frN67IkqyXtVdXNNcWEKR5PB8D4XnnL&#10;UtBwoH5lG8XpA8Y59XdKugy90e1eG5Mn0B/eGWAnQb3d52eh/5VmHBsb/vaquspk59P5GW0cFZMk&#10;zqJSFKfDtCg9+PZM3hwD6H6g4taZnpKoF1nF8t2kZv85z9DHf2X7C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B5g8svWAAAACAEAAA8AAAAAAAAAAQAgAAAAIgAAAGRycy9kb3ducmV2LnhtbFBLAQIU&#10;ABQAAAAIAIdO4kBaFOPBvAEAAHMDAAAOAAAAAAAAAAEAIAAAACUBAABkcnMvZTJvRG9jLnhtbFBL&#10;BQYAAAAABgAGAFkBAABTBQAAAAA=&#10;">
                      <v:fill on="t" focussize="0,0"/>
                      <v:stroke on="f"/>
                      <v:imagedata o:title=""/>
                      <o:lock v:ext="edit" aspectratio="f"/>
                      <v:textbox>
                        <w:txbxContent>
                          <w:p/>
                        </w:txbxContent>
                      </v:textbox>
                    </v:rect>
                  </w:pict>
                </mc:Fallback>
              </mc:AlternateContent>
            </w:r>
            <w:bookmarkEnd w:id="1"/>
          </w:p>
        </w:tc>
      </w:tr>
    </w:tbl>
    <w:p>
      <w:pPr>
        <w:pStyle w:val="8"/>
        <w:rPr>
          <w:rFonts w:hAnsi="黑体"/>
        </w:rPr>
      </w:pPr>
    </w:p>
    <w:p>
      <w:pPr>
        <w:pStyle w:val="8"/>
        <w:rPr>
          <w:rFonts w:hAnsi="黑体"/>
        </w:rPr>
      </w:pPr>
    </w:p>
    <w:p>
      <w:pPr>
        <w:pStyle w:val="10"/>
      </w:pPr>
      <w:r>
        <w:rPr>
          <w:rFonts w:hint="eastAsia"/>
        </w:rPr>
        <w:t>“110”社会联动处置规范</w:t>
      </w:r>
    </w:p>
    <w:p>
      <w:pPr>
        <w:pStyle w:val="11"/>
        <w:rPr>
          <w:rFonts w:hint="eastAsia"/>
        </w:rPr>
      </w:pPr>
      <w:r>
        <w:rPr>
          <w:rFonts w:hint="eastAsia"/>
        </w:rPr>
        <w:t>（征求意见稿）</w:t>
      </w:r>
    </w:p>
    <w:p>
      <w:pPr>
        <w:pStyle w:val="12"/>
      </w:pPr>
    </w:p>
    <w:tbl>
      <w:tblPr>
        <w:tblStyle w:val="2"/>
        <w:tblW w:w="985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vAlign w:val="top"/>
          </w:tcPr>
          <w:p>
            <w:pPr>
              <w:pStyle w:val="13"/>
              <w:jc w:val="both"/>
            </w:pPr>
            <w:r>
              <mc:AlternateContent>
                <mc:Choice Requires="wps">
                  <w:drawing>
                    <wp:anchor distT="0" distB="0" distL="114300" distR="114300" simplePos="0" relativeHeight="251660288" behindDoc="1" locked="1" layoutInCell="1" allowOverlap="1">
                      <wp:simplePos x="0" y="0"/>
                      <wp:positionH relativeFrom="column">
                        <wp:posOffset>2200910</wp:posOffset>
                      </wp:positionH>
                      <wp:positionV relativeFrom="paragraph">
                        <wp:posOffset>573405</wp:posOffset>
                      </wp:positionV>
                      <wp:extent cx="1905000" cy="254000"/>
                      <wp:effectExtent l="0" t="0" r="0" b="12700"/>
                      <wp:wrapNone/>
                      <wp:docPr id="3" name="矩形 3"/>
                      <wp:cNvGraphicFramePr/>
                      <a:graphic xmlns:a="http://schemas.openxmlformats.org/drawingml/2006/main">
                        <a:graphicData uri="http://schemas.microsoft.com/office/word/2010/wordprocessingShape">
                          <wps:wsp>
                            <wps:cNvSpPr/>
                            <wps:spPr>
                              <a:xfrm>
                                <a:off x="0" y="0"/>
                                <a:ext cx="1905000" cy="254000"/>
                              </a:xfrm>
                              <a:prstGeom prst="rect">
                                <a:avLst/>
                              </a:prstGeom>
                              <a:solidFill>
                                <a:srgbClr val="FFFFFF"/>
                              </a:solidFill>
                              <a:ln w="9525">
                                <a:noFill/>
                              </a:ln>
                            </wps:spPr>
                            <wps:txbx>
                              <w:txbxContent>
                                <w:p/>
                              </w:txbxContent>
                            </wps:txbx>
                            <wps:bodyPr upright="1"/>
                          </wps:wsp>
                        </a:graphicData>
                      </a:graphic>
                    </wp:anchor>
                  </w:drawing>
                </mc:Choice>
                <mc:Fallback>
                  <w:pict>
                    <v:rect id="_x0000_s1026" o:spid="_x0000_s1026" o:spt="1" style="position:absolute;left:0pt;margin-left:173.3pt;margin-top:45.15pt;height:20pt;width:150pt;z-index:-251656192;mso-width-relative:page;mso-height-relative:page;" fillcolor="#FFFFFF" filled="t" stroked="f" coordsize="21600,21600" o:gfxdata="UEsDBAoAAAAAAIdO4kAAAAAAAAAAAAAAAAAEAAAAZHJzL1BLAwQUAAAACACHTuJABYmuktUAAAAK&#10;AQAADwAAAGRycy9kb3ducmV2LnhtbE2PwU7DMAyG70h7h8iTuLFkdESsNN0BaSfgsA2Jq9d4bUWT&#10;lCbdyttjdoGjf3/6/bnYTK4TZxpiG7yB5UKBIF8F2/rawPthe/cIIib0FrvgycA3RdiUs5sCcxsu&#10;fkfnfaoFl/iYo4EmpT6XMlYNOYyL0JPn3SkMDhOPQy3tgBcud528V0pLh63nCw329NxQ9bkfnQHU&#10;K/v1dspeDy+jxnU9qe3DhzLmdr5UTyASTekPhl99VoeSnY5h9DaKzkC20ppRA2uVgWBAX4Mjkxkn&#10;sizk/xfKH1BLAwQUAAAACACHTuJA074tn7wBAABzAwAADgAAAGRycy9lMm9Eb2MueG1srZPPjtMw&#10;EMbvSLyD5TtN2qWIjZruYatyQbDSsg/gOk5iyf804zbp0yBx4yF4HMRrMHZCF5bLHjYHZ2yPf57v&#10;m2RzM1rDTgpQe1fz5aLkTDnpG+26mj982b95zxlG4RphvFM1PyvkN9vXrzZDqNTK9940ChhBHFZD&#10;qHkfY6iKAmWvrMCFD8rRZuvBikhT6IoGxEB0a4pVWb4rBg9NAC8VIq3upk0+E+E5QN+2Wqqdl0er&#10;XJyooIyIJAl7HZBvc7Vtq2T83LaoIjM1J6Uxj3QJxYc0FtuNqDoQoddyLkE8p4QnmqzQji69oHYi&#10;CnYE/R/KagkefRsX0ttiEpIdIRXL8ok3970IKmshqzFcTMeXw8pPpztguqn5FWdOWGr4r6/ff/74&#10;xq6SN0PAilLuwx3MM6QwCR1bsOlNEtiY/Txf/FRjZJIWl9fluizJakl7q/XbFBOmeDwdAOMH5S1L&#10;Qc2B+pVtFKePGKfUPynpMvRGN3ttTJ5Ad7g1wE6CervPz0z/J804NtT8er1aZ7Lz6fyENo6KSRIn&#10;USmK42GclR58cyZvjgF011Nxy0xPSdSLrGL+blKz/55n6OO/sv0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BYmuktUAAAAKAQAADwAAAAAAAAABACAAAAAiAAAAZHJzL2Rvd25yZXYueG1sUEsBAhQA&#10;FAAAAAgAh07iQNO+LZ+8AQAAcwMAAA4AAAAAAAAAAQAgAAAAJAEAAGRycy9lMm9Eb2MueG1sUEsF&#10;BgAAAAAGAAYAWQEAAFIFAAAAAA==&#10;">
                      <v:fill on="t" focussize="0,0"/>
                      <v:stroke on="f"/>
                      <v:imagedata o:title=""/>
                      <o:lock v:ext="edit" aspectratio="f"/>
                      <v:textbox>
                        <w:txbxContent>
                          <w:p/>
                        </w:txbxContent>
                      </v:textbox>
                      <w10:anchorlock/>
                    </v:rect>
                  </w:pict>
                </mc:Fallback>
              </mc:AlternateContent>
            </w:r>
            <w:r>
              <mc:AlternateContent>
                <mc:Choice Requires="wps">
                  <w:drawing>
                    <wp:anchor distT="0" distB="0" distL="114300" distR="114300" simplePos="0" relativeHeight="251659264" behindDoc="1" locked="0" layoutInCell="1" allowOverlap="1">
                      <wp:simplePos x="0" y="0"/>
                      <wp:positionH relativeFrom="column">
                        <wp:posOffset>2454910</wp:posOffset>
                      </wp:positionH>
                      <wp:positionV relativeFrom="paragraph">
                        <wp:posOffset>255905</wp:posOffset>
                      </wp:positionV>
                      <wp:extent cx="1270000" cy="304800"/>
                      <wp:effectExtent l="0" t="0" r="6350" b="0"/>
                      <wp:wrapNone/>
                      <wp:docPr id="1" name="矩形 1"/>
                      <wp:cNvGraphicFramePr/>
                      <a:graphic xmlns:a="http://schemas.openxmlformats.org/drawingml/2006/main">
                        <a:graphicData uri="http://schemas.microsoft.com/office/word/2010/wordprocessingShape">
                          <wps:wsp>
                            <wps:cNvSpPr/>
                            <wps:spPr>
                              <a:xfrm>
                                <a:off x="0" y="0"/>
                                <a:ext cx="1270000" cy="304800"/>
                              </a:xfrm>
                              <a:prstGeom prst="rect">
                                <a:avLst/>
                              </a:prstGeom>
                              <a:solidFill>
                                <a:srgbClr val="FFFFFF"/>
                              </a:solidFill>
                              <a:ln w="9525">
                                <a:noFill/>
                              </a:ln>
                            </wps:spPr>
                            <wps:txbx>
                              <w:txbxContent>
                                <w:p/>
                              </w:txbxContent>
                            </wps:txbx>
                            <wps:bodyPr upright="1"/>
                          </wps:wsp>
                        </a:graphicData>
                      </a:graphic>
                    </wp:anchor>
                  </w:drawing>
                </mc:Choice>
                <mc:Fallback>
                  <w:pict>
                    <v:rect id="_x0000_s1026" o:spid="_x0000_s1026" o:spt="1" style="position:absolute;left:0pt;margin-left:193.3pt;margin-top:20.15pt;height:24pt;width:100pt;z-index:-251657216;mso-width-relative:page;mso-height-relative:page;" fillcolor="#FFFFFF" filled="t" stroked="f" coordsize="21600,21600" o:gfxdata="UEsDBAoAAAAAAIdO4kAAAAAAAAAAAAAAAAAEAAAAZHJzL1BLAwQUAAAACACHTuJAA+GL5dYAAAAJ&#10;AQAADwAAAGRycy9kb3ducmV2LnhtbE2PwU7DMAyG70i8Q2QkbiwZ3aJSmu6AtBNwYEPi6jVeW9E4&#10;pUm38vYELuxo+9Pv7y83s+vFicbQeTawXCgQxLW3HTcG3vfbuxxEiMgWe89k4JsCbKrrqxIL68/8&#10;RqddbEQK4VCggTbGoZAy1C05DAs/EKfb0Y8OYxrHRtoRzync9fJeKS0ddpw+tDjQU0v1525yBlCv&#10;7NfrMXvZP08aH5pZbdcfypjbm6V6BBFpjv8w/OondaiS08FPbIPoDWS51gk1sFIZiASs/xYHA3me&#10;gaxKedmg+gFQSwMEFAAAAAgAh07iQK3NT4K7AQAAcwMAAA4AAABkcnMvZTJvRG9jLnhtbK1TS27b&#10;MBDdF8gdCO5ryW7SpoLlLGq4m6INkOQANEVJBPjDDG3JpynQXQ/R4xS9RoeU4rTpJotyQc1whm/m&#10;vaHWN6M17KgAtXc1Xy5KzpSTvtGuq/nD/e71NWcYhWuE8U7V/KSQ32wuXq2HUKmV771pFDACcVgN&#10;oeZ9jKEqCpS9sgIXPihHwdaDFZFc6IoGxEDo1hSrsnxbDB6aAF4qRDrdTkE+I8JLAH3baqm2Xh6s&#10;cnFCBWVEJErY64B8k7ttWyXjl7ZFFZmpOTGNeaciZO/TXmzWoupAhF7LuQXxkhaecbJCOyp6htqK&#10;KNgB9D9QVkvw6Nu4kN4WE5GsCLFYls+0uetFUJkLSY3hLDr+P1j5+XgLTDf0EjhzwtLAf339/vPH&#10;N7ZM2gwBK0q5C7cwe0hmIjq2YNOXKLAx63k666nGyCQdLlfvSlqcSYq9KS+vySaY4ul2AIwflbcs&#10;GTUHmleWURw/YZxSH1NSMfRGNzttTHag238wwI6CZrvLa0b/K804NtT8/dXqKiM7n+5P0MZRM4ni&#10;RCpZcdyPM9O9b06kzSGA7npqLguS02kWmcX8btKw//Qz6NO/svk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A+GL5dYAAAAJAQAADwAAAAAAAAABACAAAAAiAAAAZHJzL2Rvd25yZXYueG1sUEsBAhQA&#10;FAAAAAgAh07iQK3NT4K7AQAAcwMAAA4AAAAAAAAAAQAgAAAAJQEAAGRycy9lMm9Eb2MueG1sUEsF&#10;BgAAAAAGAAYAWQEAAFIFAAAAAA==&#10;">
                      <v:fill on="t" focussize="0,0"/>
                      <v:stroke on="f"/>
                      <v:imagedata o:title=""/>
                      <o:lock v:ext="edit" aspectratio="f"/>
                      <v:textbox>
                        <w:txbxContent>
                          <w:p/>
                        </w:txbxContent>
                      </v:textbox>
                    </v:rect>
                  </w:pict>
                </mc:Fallback>
              </mc:AlternateConten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vAlign w:val="top"/>
          </w:tcPr>
          <w:p>
            <w:pPr>
              <w:pStyle w:val="14"/>
            </w:pPr>
          </w:p>
        </w:tc>
      </w:tr>
    </w:tbl>
    <w:p>
      <w:pPr>
        <w:pStyle w:val="15"/>
      </w:pPr>
      <w:bookmarkStart w:id="2" w:name="FY"/>
      <w:r>
        <w:rPr>
          <w:rFonts w:ascii="黑体"/>
        </w:rPr>
        <w:fldChar w:fldCharType="begin">
          <w:ffData>
            <w:name w:val="FY"/>
            <w:enabled/>
            <w:calcOnExit w:val="0"/>
            <w:textInput>
              <w:default w:val="XXXX"/>
              <w:maxLength w:val="4"/>
            </w:textInput>
          </w:ffData>
        </w:fldChar>
      </w:r>
      <w:r>
        <w:rPr>
          <w:rFonts w:ascii="黑体"/>
        </w:rPr>
        <w:instrText xml:space="preserve"> FORMTEXT </w:instrText>
      </w:r>
      <w:r>
        <w:rPr>
          <w:rFonts w:ascii="黑体"/>
        </w:rPr>
        <w:fldChar w:fldCharType="separate"/>
      </w:r>
      <w:r>
        <w:rPr>
          <w:rFonts w:ascii="黑体"/>
        </w:rPr>
        <w:t>XXXX</w:t>
      </w:r>
      <w:r>
        <w:rPr>
          <w:rFonts w:ascii="黑体"/>
        </w:rPr>
        <w:fldChar w:fldCharType="end"/>
      </w:r>
      <w:bookmarkEnd w:id="2"/>
      <w:r>
        <w:t xml:space="preserve"> </w:t>
      </w:r>
      <w:r>
        <w:rPr>
          <w:rFonts w:ascii="黑体"/>
        </w:rPr>
        <w:t>-</w:t>
      </w:r>
      <w:r>
        <w:t xml:space="preserve"> </w:t>
      </w:r>
      <w:r>
        <w:rPr>
          <w:rFonts w:ascii="黑体"/>
        </w:rPr>
        <w:fldChar w:fldCharType="begin">
          <w:ffData>
            <w:name w:val="FM"/>
            <w:enabled/>
            <w:calcOnExit w:val="0"/>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r>
        <w:t xml:space="preserve"> </w:t>
      </w:r>
      <w:r>
        <w:rPr>
          <w:rFonts w:ascii="黑体"/>
        </w:rPr>
        <w:t>-</w:t>
      </w:r>
      <w:r>
        <w:t xml:space="preserve"> </w:t>
      </w:r>
      <w:bookmarkStart w:id="3" w:name="FD"/>
      <w:r>
        <w:rPr>
          <w:rFonts w:ascii="黑体"/>
        </w:rPr>
        <w:fldChar w:fldCharType="begin">
          <w:ffData>
            <w:name w:val="FD"/>
            <w:enabled/>
            <w:calcOnExit w:val="0"/>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bookmarkEnd w:id="3"/>
      <w:r>
        <w:rPr>
          <w:rFonts w:hint="eastAsia"/>
        </w:rPr>
        <w:t>发布</w:t>
      </w:r>
      <w:r>
        <mc:AlternateContent>
          <mc:Choice Requires="wps">
            <w:drawing>
              <wp:anchor distT="0" distB="0" distL="114300" distR="114300" simplePos="0" relativeHeight="251662336" behindDoc="0" locked="1" layoutInCell="1" allowOverlap="1">
                <wp:simplePos x="0" y="0"/>
                <wp:positionH relativeFrom="column">
                  <wp:posOffset>-635</wp:posOffset>
                </wp:positionH>
                <wp:positionV relativeFrom="page">
                  <wp:posOffset>9251950</wp:posOffset>
                </wp:positionV>
                <wp:extent cx="612013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05pt;margin-top:728.5pt;height:0pt;width:481.9pt;mso-position-vertical-relative:page;z-index:251662336;mso-width-relative:page;mso-height-relative:page;" filled="f" stroked="t" coordsize="21600,21600" o:gfxdata="UEsDBAoAAAAAAIdO4kAAAAAAAAAAAAAAAAAEAAAAZHJzL1BLAwQUAAAACACHTuJAJYdrPNYAAAAL&#10;AQAADwAAAGRycy9kb3ducmV2LnhtbE2PPU/DMBCGdyT+g3VILFVrp4UWQpwOQDaWllas1+RIIuJz&#10;Grsf8Os5BgTjvffo/ciWZ9epIw2h9WwhmRhQxKWvWq4tbF6L8R2oEJEr7DyThU8KsMwvLzJMK3/i&#10;FR3XsVZiwiFFC02Mfap1KBtyGCa+J5bfux8cRjmHWlcDnsTcdXpqzFw7bFkSGuzpsaHyY31wFkKx&#10;pX3xNSpH5m1We5run16e0drrq8Q8gIp0jn8w/NSX6pBLp50/cBVUZ2GcCCjyze1CNglwP58tQO1+&#10;JZ1n+v+G/BtQSwMEFAAAAAgAh07iQJ8fASz0AQAA5AMAAA4AAABkcnMvZTJvRG9jLnhtbK1TzW4T&#10;MRC+I/EOlu9kk9BWsMqmh4ZyQRAJeICJ7d215D95nGzyErwAEjc4ceTO27Q8BmNv2kK55MAevGPP&#10;+Jv5vhkvLvfWsJ2KqL1r+Gwy5Uw54aV2XcM/frh+9oIzTOAkGO9Uww8K+eXy6ZPFEGo19703UkVG&#10;IA7rITS8TynUVYWiVxZw4oNy5Gx9tJBoG7tKRhgI3ZpqPp1eVIOPMkQvFCKdrkYnPyLGUwB922qh&#10;Vl5srXJpRI3KQCJK2OuAfFmqbVsl0ru2RZWYaTgxTWWlJGRv8lotF1B3EUKvxbEEOKWER5wsaEdJ&#10;76FWkIBto/4HymoRPfo2TYS31UikKEIsZtNH2rzvIajChaTGcC86/j9Y8Xa3jkzLhp9x5sBSw28/&#10;/7j59PXXzy+03n7/xs6ySEPAmmKv3DoedxjWMTPet9HmP3Fh+yLs4V5YtU9M0OHFjNg9J83Fna96&#10;uBgiptfKW5aNhhvtMmeoYfcGEyWj0LuQfGwcGxr+8nx+TnBAA9hS48m0gUig68pd9EbLa21MvoGx&#10;21yZyHaQh6B8mRLh/hWWk6wA+zGuuMbx6BXIV06ydAgkj6NXwXMJVknOjKJHlC0ChDqBNqdEUmrj&#10;qIKs6qhjtjZeHqgZ2xB115MSs1Jl9lDzS73HQc3T9ee+ID08zu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JYdrPNYAAAALAQAADwAAAAAAAAABACAAAAAiAAAAZHJzL2Rvd25yZXYueG1sUEsBAhQA&#10;FAAAAAgAh07iQJ8fASz0AQAA5AMAAA4AAAAAAAAAAQAgAAAAJQEAAGRycy9lMm9Eb2MueG1sUEsF&#10;BgAAAAAGAAYAWQEAAIsFAAAAAA==&#10;">
                <v:fill on="f" focussize="0,0"/>
                <v:stroke color="#000000" joinstyle="round"/>
                <v:imagedata o:title=""/>
                <o:lock v:ext="edit" aspectratio="f"/>
                <w10:anchorlock/>
              </v:line>
            </w:pict>
          </mc:Fallback>
        </mc:AlternateContent>
      </w:r>
    </w:p>
    <w:p>
      <w:pPr>
        <w:pStyle w:val="17"/>
      </w:pPr>
      <w:bookmarkStart w:id="4" w:name="SY"/>
      <w:r>
        <w:rPr>
          <w:rFonts w:ascii="黑体"/>
        </w:rPr>
        <w:fldChar w:fldCharType="begin">
          <w:ffData>
            <w:name w:val="SY"/>
            <w:enabled/>
            <w:calcOnExit w:val="0"/>
            <w:textInput>
              <w:default w:val="XXXX"/>
              <w:maxLength w:val="4"/>
            </w:textInput>
          </w:ffData>
        </w:fldChar>
      </w:r>
      <w:r>
        <w:rPr>
          <w:rFonts w:ascii="黑体"/>
        </w:rPr>
        <w:instrText xml:space="preserve"> FORMTEXT </w:instrText>
      </w:r>
      <w:r>
        <w:rPr>
          <w:rFonts w:ascii="黑体"/>
        </w:rPr>
        <w:fldChar w:fldCharType="separate"/>
      </w:r>
      <w:r>
        <w:rPr>
          <w:rFonts w:ascii="黑体"/>
        </w:rPr>
        <w:t>XXXX</w:t>
      </w:r>
      <w:r>
        <w:rPr>
          <w:rFonts w:ascii="黑体"/>
        </w:rPr>
        <w:fldChar w:fldCharType="end"/>
      </w:r>
      <w:bookmarkEnd w:id="4"/>
      <w:r>
        <w:t xml:space="preserve"> </w:t>
      </w:r>
      <w:r>
        <w:rPr>
          <w:rFonts w:ascii="黑体"/>
        </w:rPr>
        <w:t>-</w:t>
      </w:r>
      <w:r>
        <w:t xml:space="preserve"> </w:t>
      </w:r>
      <w:bookmarkStart w:id="5" w:name="SM"/>
      <w:r>
        <w:rPr>
          <w:rFonts w:ascii="黑体"/>
        </w:rPr>
        <w:fldChar w:fldCharType="begin">
          <w:ffData>
            <w:name w:val="SM"/>
            <w:enabled/>
            <w:calcOnExit w:val="0"/>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bookmarkEnd w:id="5"/>
      <w:r>
        <w:t xml:space="preserve"> </w:t>
      </w:r>
      <w:r>
        <w:rPr>
          <w:rFonts w:ascii="黑体"/>
        </w:rPr>
        <w:t>-</w:t>
      </w:r>
      <w:r>
        <w:t xml:space="preserve"> </w:t>
      </w:r>
      <w:bookmarkStart w:id="6" w:name="SD"/>
      <w:r>
        <w:rPr>
          <w:rFonts w:ascii="黑体"/>
        </w:rPr>
        <w:fldChar w:fldCharType="begin">
          <w:ffData>
            <w:name w:val="SD"/>
            <w:enabled/>
            <w:calcOnExit w:val="0"/>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bookmarkEnd w:id="6"/>
      <w:r>
        <w:rPr>
          <w:rFonts w:hint="eastAsia"/>
        </w:rPr>
        <w:t>实施</w:t>
      </w:r>
    </w:p>
    <w:p>
      <w:pPr>
        <w:pStyle w:val="19"/>
      </w:pPr>
      <w:r>
        <w:rPr>
          <w:rFonts w:hint="eastAsia"/>
        </w:rPr>
        <w:t>杭州市市场监督管理局</w:t>
      </w:r>
      <w:r>
        <w:rPr>
          <w:rFonts w:hint="eastAsia" w:ascii="MS Mincho" w:hAnsi="MS Mincho" w:eastAsia="MS Mincho" w:cs="MS Mincho"/>
        </w:rPr>
        <w:t>   </w:t>
      </w:r>
      <w:r>
        <w:rPr>
          <w:rStyle w:val="22"/>
          <w:rFonts w:hint="eastAsia"/>
        </w:rPr>
        <w:t>发布</w:t>
      </w:r>
    </w:p>
    <w:p>
      <w:pPr>
        <w:pStyle w:val="21"/>
        <w:sectPr>
          <w:pgSz w:w="11906" w:h="16838"/>
          <w:pgMar w:top="567" w:right="850" w:bottom="1134" w:left="1418" w:header="0" w:footer="0" w:gutter="0"/>
          <w:pgNumType w:start="1"/>
          <w:cols w:space="720" w:num="1"/>
          <w:docGrid w:type="lines" w:linePitch="312" w:charSpace="0"/>
        </w:sectPr>
      </w:pPr>
      <w:r>
        <mc:AlternateContent>
          <mc:Choice Requires="wps">
            <w:drawing>
              <wp:anchor distT="0" distB="0" distL="114300" distR="114300" simplePos="0" relativeHeight="251663360" behindDoc="0" locked="0" layoutInCell="1" allowOverlap="1">
                <wp:simplePos x="0" y="0"/>
                <wp:positionH relativeFrom="column">
                  <wp:posOffset>-635</wp:posOffset>
                </wp:positionH>
                <wp:positionV relativeFrom="paragraph">
                  <wp:posOffset>2339975</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05pt;margin-top:184.25pt;height:0pt;width:481.9pt;z-index:251663360;mso-width-relative:page;mso-height-relative:page;" filled="f" stroked="t" coordsize="21600,21600" o:gfxdata="UEsDBAoAAAAAAIdO4kAAAAAAAAAAAAAAAAAEAAAAZHJzL1BLAwQUAAAACACHTuJAQkHiX9cAAAAJ&#10;AQAADwAAAGRycy9kb3ducmV2LnhtbE2PzU7DMBCE70h9B2uRuFStnUaEEuL0UMiNC20R1228JBHx&#10;Oo3dH3h6jIQEx9kZzXxbrC62FycafedYQzJXIIhrZzpuNOy21WwJwgdkg71j0vBJHlbl5KrA3Lgz&#10;v9BpExoRS9jnqKENYcil9HVLFv3cDcTRe3ejxRDl2Egz4jmW214ulMqkxY7jQosDrVuqPzZHq8FX&#10;r3Sovqb1VL2ljaPF4fH5CbW+uU7UA4hAl/AXhh/8iA5lZNq7Ixsveg2zJAY1pNnyFkT077P0DsT+&#10;9yLLQv7/oPwGUEsDBBQAAAAIAIdO4kCOdGVB9AEAAOQDAAAOAAAAZHJzL2Uyb0RvYy54bWytU72O&#10;EzEQ7pF4B8s92SQoJ1hlc8WFo0FwEvAAE9u7a8l/8jjZ5CV4ASQ6qCjpeRvuHoOxN5eDo0nBFt6x&#10;Z/zNfN+Ml5d7a9hORdTeNXw2mXKmnPBSu67hHz9cP3vBGSZwEox3quEHhfxy9fTJcgi1mvveG6ki&#10;IxCH9RAa3qcU6qpC0SsLOPFBOXK2PlpItI1dJSMMhG5NNZ9OL6rBRxmiFwqRTtejkx8R4zmAvm21&#10;UGsvtla5NKJGZSARJex1QL4q1batEuld26JKzDScmKayUhKyN3mtVkuouwih1+JYApxTwiNOFrSj&#10;pCeoNSRg26j/gbJaRI++TRPhbTUSKYoQi9n0kTbvewiqcCGpMZxEx/8HK97ubiLTsuELzhxYavjt&#10;5x+/Pn29+/mF1tvv39giizQErCn2yt3E4w7DTcyM9220+U9c2L4IezgJq/aJCTq8mBG756S5uPdV&#10;DxdDxPRaecuy0XCjXeYMNezeYKJkFHofko+NY0PDXy7mVLAAGsCWGk+mDUQCXVfuojdaXmtj8g2M&#10;3ebKRLaDPATly5QI96+wnGQN2I9xxTWOR69AvnKSpUMgeRy9Cp5LsEpyZhQ9omwRINQJtDknklIb&#10;RxVkVUcds7Xx8kDN2Iaou56UmJUqs4eaX+o9Dmqerj/3Benhca5+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EJB4l/XAAAACQEAAA8AAAAAAAAAAQAgAAAAIgAAAGRycy9kb3ducmV2LnhtbFBLAQIU&#10;ABQAAAAIAIdO4kCOdGVB9AEAAOQDAAAOAAAAAAAAAAEAIAAAACYBAABkcnMvZTJvRG9jLnhtbFBL&#10;BQYAAAAABgAGAFkBAACMBQAAAAA=&#10;">
                <v:fill on="f" focussize="0,0"/>
                <v:stroke color="#000000" joinstyle="round"/>
                <v:imagedata o:title=""/>
                <o:lock v:ext="edit" aspectratio="f"/>
              </v:line>
            </w:pict>
          </mc:Fallback>
        </mc:AlternateContent>
      </w:r>
    </w:p>
    <w:p>
      <w:pPr>
        <w:pStyle w:val="23"/>
        <w:rPr>
          <w:rFonts w:hint="eastAsia"/>
        </w:rPr>
      </w:pPr>
      <w:r>
        <w:rPr>
          <w:rFonts w:hint="eastAsia"/>
        </w:rPr>
        <w:t>前</w:t>
      </w:r>
      <w:bookmarkStart w:id="7" w:name="BKQY"/>
      <w:r>
        <w:rPr>
          <w:rFonts w:hint="eastAsia" w:ascii="MS Mincho" w:hAnsi="MS Mincho" w:eastAsia="MS Mincho" w:cs="MS Mincho"/>
        </w:rPr>
        <w:t>  </w:t>
      </w:r>
      <w:r>
        <w:rPr>
          <w:rFonts w:hint="eastAsia"/>
        </w:rPr>
        <w:t>言</w:t>
      </w:r>
      <w:bookmarkEnd w:id="7"/>
    </w:p>
    <w:p>
      <w:pPr>
        <w:pStyle w:val="21"/>
        <w:rPr>
          <w:rFonts w:hint="eastAsia"/>
        </w:rPr>
      </w:pPr>
      <w:r>
        <w:rPr>
          <w:rFonts w:hint="eastAsia"/>
        </w:rPr>
        <w:t>本文件按照GB/T 1.1-2020《标准化工作导则  第1部分：标准化文件的结构和起草规则》的规则起草。</w:t>
      </w:r>
    </w:p>
    <w:p>
      <w:pPr>
        <w:pStyle w:val="21"/>
        <w:rPr>
          <w:rFonts w:hint="eastAsia"/>
        </w:rPr>
      </w:pPr>
      <w:r>
        <w:rPr>
          <w:rFonts w:hint="eastAsia"/>
        </w:rPr>
        <w:t>本</w:t>
      </w:r>
      <w:r>
        <w:rPr>
          <w:rFonts w:hint="eastAsia"/>
          <w:lang w:val="en-US" w:eastAsia="zh-CN"/>
        </w:rPr>
        <w:t>文件</w:t>
      </w:r>
      <w:r>
        <w:rPr>
          <w:rFonts w:hint="eastAsia"/>
        </w:rPr>
        <w:t>由杭州市人民政府办公厅提出</w:t>
      </w:r>
      <w:r>
        <w:rPr>
          <w:rFonts w:hint="eastAsia"/>
          <w:lang w:eastAsia="zh-CN"/>
        </w:rPr>
        <w:t>并</w:t>
      </w:r>
      <w:r>
        <w:rPr>
          <w:rFonts w:hint="eastAsia"/>
        </w:rPr>
        <w:t>归口。</w:t>
      </w:r>
    </w:p>
    <w:p>
      <w:pPr>
        <w:pStyle w:val="21"/>
        <w:rPr>
          <w:rFonts w:hint="eastAsia"/>
        </w:rPr>
      </w:pPr>
      <w:r>
        <w:rPr>
          <w:rFonts w:hint="eastAsia"/>
        </w:rPr>
        <w:t>本</w:t>
      </w:r>
      <w:r>
        <w:rPr>
          <w:rFonts w:hint="eastAsia"/>
          <w:lang w:val="en-US" w:eastAsia="zh-CN"/>
        </w:rPr>
        <w:t>文件</w:t>
      </w:r>
      <w:r>
        <w:rPr>
          <w:rFonts w:hint="eastAsia"/>
        </w:rPr>
        <w:t>起草单位：杭州市“110”社会联动指挥中心。</w:t>
      </w:r>
    </w:p>
    <w:p>
      <w:pPr>
        <w:pStyle w:val="21"/>
        <w:rPr>
          <w:rFonts w:hint="eastAsia"/>
        </w:rPr>
      </w:pPr>
      <w:r>
        <w:rPr>
          <w:rFonts w:hint="eastAsia"/>
        </w:rPr>
        <w:t>本</w:t>
      </w:r>
      <w:r>
        <w:rPr>
          <w:rFonts w:hint="eastAsia"/>
          <w:lang w:val="en-US" w:eastAsia="zh-CN"/>
        </w:rPr>
        <w:t>文件</w:t>
      </w:r>
      <w:r>
        <w:rPr>
          <w:rFonts w:hint="eastAsia"/>
        </w:rPr>
        <w:t>主要起草人：       。</w:t>
      </w:r>
    </w:p>
    <w:p>
      <w:pPr>
        <w:pStyle w:val="24"/>
        <w:rPr>
          <w:rFonts w:hint="eastAsia"/>
        </w:rPr>
      </w:pPr>
      <w:r>
        <w:rPr>
          <w:rFonts w:hint="eastAsia"/>
        </w:rPr>
        <w:t>“110”社会联动处置规范</w:t>
      </w:r>
    </w:p>
    <w:p>
      <w:pPr>
        <w:pStyle w:val="25"/>
        <w:rPr>
          <w:rFonts w:hint="eastAsia"/>
        </w:rPr>
      </w:pPr>
      <w:r>
        <w:rPr>
          <w:rFonts w:hint="eastAsia"/>
        </w:rPr>
        <w:t>范围</w:t>
      </w:r>
    </w:p>
    <w:p>
      <w:pPr>
        <w:pStyle w:val="21"/>
        <w:rPr>
          <w:rFonts w:hint="eastAsia"/>
        </w:rPr>
      </w:pPr>
      <w:r>
        <w:rPr>
          <w:rFonts w:hint="eastAsia"/>
        </w:rPr>
        <w:t>本</w:t>
      </w:r>
      <w:r>
        <w:rPr>
          <w:rFonts w:hint="eastAsia"/>
          <w:lang w:val="en-US" w:eastAsia="zh-CN"/>
        </w:rPr>
        <w:t>文件</w:t>
      </w:r>
      <w:r>
        <w:rPr>
          <w:rFonts w:hint="eastAsia"/>
        </w:rPr>
        <w:t>规定了“110”社会联动处置的术语和定义、原则、分类、职责、程序、保障、考核与运用。</w:t>
      </w:r>
    </w:p>
    <w:p>
      <w:pPr>
        <w:pStyle w:val="21"/>
        <w:rPr>
          <w:rFonts w:hint="eastAsia"/>
        </w:rPr>
      </w:pPr>
      <w:r>
        <w:rPr>
          <w:rFonts w:hint="eastAsia"/>
        </w:rPr>
        <w:t>本</w:t>
      </w:r>
      <w:r>
        <w:rPr>
          <w:rFonts w:hint="eastAsia"/>
          <w:lang w:val="en-US" w:eastAsia="zh-CN"/>
        </w:rPr>
        <w:t>文件</w:t>
      </w:r>
      <w:r>
        <w:rPr>
          <w:rFonts w:hint="eastAsia"/>
        </w:rPr>
        <w:t>适用于各</w:t>
      </w:r>
      <w:r>
        <w:t>行政区域内</w:t>
      </w:r>
      <w:r>
        <w:rPr>
          <w:rFonts w:hint="eastAsia"/>
        </w:rPr>
        <w:t>“110”报警</w:t>
      </w:r>
      <w:r>
        <w:t>事件的</w:t>
      </w:r>
      <w:r>
        <w:rPr>
          <w:rFonts w:hint="eastAsia"/>
          <w:lang w:eastAsia="zh-CN"/>
        </w:rPr>
        <w:t>社会</w:t>
      </w:r>
      <w:r>
        <w:t>联动处置工作</w:t>
      </w:r>
      <w:r>
        <w:rPr>
          <w:rFonts w:hint="eastAsia"/>
        </w:rPr>
        <w:t>。</w:t>
      </w:r>
    </w:p>
    <w:p>
      <w:pPr>
        <w:pStyle w:val="25"/>
        <w:rPr>
          <w:rFonts w:hint="eastAsia"/>
        </w:rPr>
      </w:pPr>
      <w:r>
        <w:rPr>
          <w:rFonts w:hint="eastAsia"/>
        </w:rPr>
        <w:t>规范性引用文件</w:t>
      </w:r>
    </w:p>
    <w:p>
      <w:pPr>
        <w:pStyle w:val="21"/>
        <w:ind w:left="0" w:leftChars="0" w:firstLine="0" w:firstLineChars="0"/>
        <w:rPr>
          <w:rFonts w:hint="eastAsia"/>
        </w:rPr>
      </w:pPr>
      <w:r>
        <w:rPr>
          <w:rFonts w:hint="eastAsia"/>
          <w:lang w:val="en-US" w:eastAsia="zh-CN"/>
        </w:rPr>
        <w:t xml:space="preserve">2.1  </w:t>
      </w:r>
      <w:r>
        <w:rPr>
          <w:rFonts w:hint="eastAsia"/>
        </w:rPr>
        <w:t>浙江省公安厅关于认真贯彻落实《浙江省人民政府办公厅关于进一步加强社会应急联动工作的意见》的通知</w:t>
      </w:r>
    </w:p>
    <w:p>
      <w:pPr>
        <w:pStyle w:val="21"/>
        <w:ind w:left="0" w:leftChars="0" w:firstLine="0" w:firstLineChars="0"/>
        <w:rPr>
          <w:rFonts w:hint="eastAsia"/>
        </w:rPr>
      </w:pPr>
      <w:r>
        <w:rPr>
          <w:rFonts w:hint="eastAsia"/>
          <w:lang w:val="en-US" w:eastAsia="zh-CN"/>
        </w:rPr>
        <w:t xml:space="preserve">2.2  </w:t>
      </w:r>
      <w:r>
        <w:rPr>
          <w:rFonts w:hint="eastAsia"/>
        </w:rPr>
        <w:t>杭州市“110”社会应急联动工作实施方案</w:t>
      </w:r>
    </w:p>
    <w:p>
      <w:pPr>
        <w:pStyle w:val="21"/>
        <w:rPr>
          <w:rFonts w:hint="default" w:eastAsia="宋体"/>
          <w:lang w:val="en-US" w:eastAsia="zh-CN"/>
        </w:rPr>
      </w:pPr>
    </w:p>
    <w:p>
      <w:pPr>
        <w:pStyle w:val="25"/>
        <w:rPr>
          <w:rFonts w:hint="eastAsia"/>
        </w:rPr>
      </w:pPr>
      <w:r>
        <w:rPr>
          <w:rFonts w:hint="eastAsia"/>
        </w:rPr>
        <w:t>术语和定义</w:t>
      </w:r>
    </w:p>
    <w:p>
      <w:pPr>
        <w:pStyle w:val="21"/>
        <w:rPr>
          <w:rFonts w:hint="eastAsia"/>
          <w:color w:val="auto"/>
        </w:rPr>
      </w:pPr>
      <w:r>
        <w:rPr>
          <w:rFonts w:hint="eastAsia"/>
          <w:color w:val="auto"/>
        </w:rPr>
        <w:t>下列术语和定义适用于本</w:t>
      </w:r>
      <w:r>
        <w:rPr>
          <w:rFonts w:hint="eastAsia"/>
          <w:color w:val="auto"/>
          <w:lang w:val="en-US" w:eastAsia="zh-CN"/>
        </w:rPr>
        <w:t>文件</w:t>
      </w:r>
      <w:r>
        <w:rPr>
          <w:rFonts w:hint="eastAsia"/>
          <w:color w:val="auto"/>
        </w:rPr>
        <w:t>。</w:t>
      </w:r>
    </w:p>
    <w:p>
      <w:pPr>
        <w:pStyle w:val="26"/>
        <w:spacing w:before="0" w:beforeLines="0" w:after="0" w:afterLines="0"/>
        <w:rPr>
          <w:rFonts w:hint="eastAsia"/>
        </w:rPr>
      </w:pPr>
    </w:p>
    <w:p>
      <w:pPr>
        <w:pStyle w:val="26"/>
        <w:numPr>
          <w:ilvl w:val="0"/>
          <w:numId w:val="0"/>
        </w:numPr>
        <w:ind w:firstLine="420" w:firstLineChars="200"/>
        <w:rPr>
          <w:rFonts w:hint="eastAsia" w:eastAsia="黑体"/>
          <w:lang w:eastAsia="zh-CN"/>
        </w:rPr>
      </w:pPr>
      <w:r>
        <w:rPr>
          <w:rFonts w:hint="eastAsia"/>
        </w:rPr>
        <w:t>社会</w:t>
      </w:r>
      <w:r>
        <w:t>联动</w:t>
      </w:r>
      <w:r>
        <w:rPr>
          <w:rFonts w:hint="eastAsia"/>
          <w:lang w:eastAsia="zh-CN"/>
        </w:rPr>
        <w:t>事件</w:t>
      </w:r>
    </w:p>
    <w:p>
      <w:pPr>
        <w:pStyle w:val="21"/>
        <w:rPr>
          <w:rFonts w:hint="eastAsia" w:eastAsia="宋体"/>
          <w:lang w:val="en-US" w:eastAsia="zh-CN"/>
        </w:rPr>
      </w:pPr>
      <w:r>
        <w:rPr>
          <w:rFonts w:hint="eastAsia"/>
          <w:lang w:val="en-US" w:eastAsia="zh-CN"/>
        </w:rPr>
        <w:t>指挥、协调联动单位处置群众日常报警救援求助事项，以及不需要启动本级政府专项应急预案的突发事件。</w:t>
      </w:r>
    </w:p>
    <w:p>
      <w:pPr>
        <w:pStyle w:val="26"/>
        <w:rPr>
          <w:rFonts w:hint="eastAsia"/>
        </w:rPr>
      </w:pPr>
    </w:p>
    <w:p>
      <w:pPr>
        <w:pStyle w:val="26"/>
        <w:numPr>
          <w:ilvl w:val="0"/>
          <w:numId w:val="0"/>
        </w:numPr>
        <w:ind w:firstLine="420" w:firstLineChars="200"/>
        <w:rPr>
          <w:rFonts w:hint="eastAsia"/>
        </w:rPr>
      </w:pPr>
      <w:r>
        <w:rPr>
          <w:rFonts w:hint="eastAsia"/>
        </w:rPr>
        <w:t>社会联动指挥中心</w:t>
      </w:r>
    </w:p>
    <w:p>
      <w:pPr>
        <w:pStyle w:val="21"/>
        <w:rPr>
          <w:rFonts w:hint="eastAsia" w:eastAsia="宋体"/>
          <w:lang w:val="en-US" w:eastAsia="zh-CN"/>
        </w:rPr>
      </w:pPr>
      <w:r>
        <w:rPr>
          <w:rFonts w:hint="eastAsia"/>
          <w:szCs w:val="22"/>
          <w:lang w:eastAsia="zh-CN"/>
        </w:rPr>
        <w:t>市社会联动指挥中心</w:t>
      </w:r>
      <w:r>
        <w:rPr>
          <w:rFonts w:hint="eastAsia"/>
          <w:szCs w:val="22"/>
        </w:rPr>
        <w:t>设在市公安局指挥中心，</w:t>
      </w:r>
      <w:r>
        <w:rPr>
          <w:rFonts w:hint="eastAsia" w:ascii="宋体" w:eastAsia="宋体"/>
          <w:szCs w:val="22"/>
          <w:lang w:val="en-US" w:eastAsia="zh-CN"/>
        </w:rPr>
        <w:t>承担全市社会联动事件接报和指挥调度，</w:t>
      </w:r>
      <w:r>
        <w:rPr>
          <w:rFonts w:hint="eastAsia" w:ascii="宋体" w:eastAsia="宋体"/>
          <w:szCs w:val="22"/>
        </w:rPr>
        <w:t>督导</w:t>
      </w:r>
      <w:r>
        <w:rPr>
          <w:rFonts w:hint="eastAsia" w:ascii="宋体" w:eastAsia="宋体"/>
          <w:szCs w:val="22"/>
          <w:lang w:eastAsia="zh-CN"/>
        </w:rPr>
        <w:t>及</w:t>
      </w:r>
      <w:r>
        <w:rPr>
          <w:rFonts w:hint="eastAsia" w:ascii="宋体" w:eastAsia="宋体"/>
          <w:szCs w:val="22"/>
        </w:rPr>
        <w:t>考核通报等各项日常工作。</w:t>
      </w:r>
      <w:r>
        <w:rPr>
          <w:rFonts w:hint="eastAsia" w:ascii="宋体" w:eastAsia="宋体"/>
          <w:szCs w:val="22"/>
          <w:lang w:eastAsia="zh-CN"/>
        </w:rPr>
        <w:t>各区、县（市）应参照建立本级社会联动指挥中心并开展相关工作。</w:t>
      </w:r>
    </w:p>
    <w:p>
      <w:pPr>
        <w:pStyle w:val="26"/>
        <w:rPr>
          <w:rFonts w:hint="eastAsia"/>
        </w:rPr>
      </w:pPr>
    </w:p>
    <w:p>
      <w:pPr>
        <w:pStyle w:val="26"/>
        <w:numPr>
          <w:ilvl w:val="1"/>
          <w:numId w:val="0"/>
        </w:numPr>
        <w:ind w:firstLine="420" w:firstLineChars="200"/>
        <w:rPr>
          <w:rFonts w:hint="eastAsia"/>
        </w:rPr>
      </w:pPr>
      <w:r>
        <w:rPr>
          <w:rFonts w:hint="eastAsia"/>
        </w:rPr>
        <w:t>联动单位</w:t>
      </w:r>
    </w:p>
    <w:p>
      <w:pPr>
        <w:pStyle w:val="21"/>
        <w:rPr>
          <w:rFonts w:hint="eastAsia" w:eastAsia="宋体"/>
          <w:szCs w:val="22"/>
          <w:lang w:val="en-US" w:eastAsia="zh-CN"/>
        </w:rPr>
      </w:pPr>
      <w:r>
        <w:rPr>
          <w:rFonts w:hint="eastAsia"/>
          <w:szCs w:val="22"/>
          <w:lang w:eastAsia="zh-CN"/>
        </w:rPr>
        <w:t>接受社会联动指挥中心指令的相关职能部门、事关民生的企事业单位和社会组织，</w:t>
      </w:r>
      <w:r>
        <w:rPr>
          <w:rFonts w:hint="eastAsia"/>
          <w:szCs w:val="22"/>
        </w:rPr>
        <w:t>名单参见附录A。</w:t>
      </w:r>
    </w:p>
    <w:p>
      <w:pPr>
        <w:pStyle w:val="25"/>
        <w:rPr>
          <w:rFonts w:hint="eastAsia"/>
        </w:rPr>
      </w:pPr>
      <w:r>
        <w:rPr>
          <w:rFonts w:hint="eastAsia"/>
        </w:rPr>
        <w:t>原则</w:t>
      </w:r>
    </w:p>
    <w:p>
      <w:pPr>
        <w:pStyle w:val="26"/>
        <w:spacing w:before="0" w:beforeLines="0" w:after="0" w:afterLines="0"/>
        <w:rPr>
          <w:rFonts w:hint="eastAsia" w:ascii="宋体" w:hAnsi="宋体" w:eastAsia="宋体" w:cs="宋体"/>
        </w:rPr>
      </w:pPr>
      <w:r>
        <w:rPr>
          <w:rFonts w:hint="eastAsia" w:ascii="宋体" w:hAnsi="宋体" w:eastAsia="宋体" w:cs="宋体"/>
        </w:rPr>
        <w:t>联动处置工作应坚持</w:t>
      </w:r>
      <w:r>
        <w:rPr>
          <w:rFonts w:hint="eastAsia" w:ascii="宋体" w:hAnsi="宋体" w:eastAsia="宋体" w:cs="宋体"/>
          <w:lang w:val="en-US" w:eastAsia="zh-CN"/>
        </w:rPr>
        <w:t>“</w:t>
      </w:r>
      <w:r>
        <w:rPr>
          <w:rFonts w:hint="eastAsia" w:ascii="宋体" w:hAnsi="宋体" w:eastAsia="宋体" w:cs="宋体"/>
          <w:lang w:eastAsia="zh-CN"/>
        </w:rPr>
        <w:t>政府主导，统一指挥，部门联动、社会参与、运转顺畅、处置高效”的原则</w:t>
      </w:r>
      <w:r>
        <w:rPr>
          <w:rFonts w:hint="eastAsia" w:ascii="宋体" w:hAnsi="宋体" w:eastAsia="宋体" w:cs="宋体"/>
        </w:rPr>
        <w:t>。</w:t>
      </w:r>
    </w:p>
    <w:p>
      <w:pPr>
        <w:pStyle w:val="26"/>
        <w:spacing w:before="0" w:beforeLines="0" w:after="0" w:afterLines="0"/>
        <w:rPr>
          <w:rFonts w:hint="eastAsia" w:ascii="宋体" w:hAnsi="宋体" w:eastAsia="宋体" w:cs="宋体"/>
        </w:rPr>
      </w:pPr>
      <w:r>
        <w:rPr>
          <w:rFonts w:hint="eastAsia" w:ascii="宋体" w:hAnsi="宋体" w:eastAsia="宋体" w:cs="宋体"/>
        </w:rPr>
        <w:t>各联动单位</w:t>
      </w:r>
      <w:r>
        <w:rPr>
          <w:rFonts w:hint="eastAsia" w:ascii="宋体" w:hAnsi="宋体" w:eastAsia="宋体" w:cs="宋体"/>
          <w:lang w:eastAsia="zh-CN"/>
        </w:rPr>
        <w:t>、联动分中心</w:t>
      </w:r>
      <w:r>
        <w:rPr>
          <w:rFonts w:hint="eastAsia" w:ascii="宋体" w:hAnsi="宋体" w:eastAsia="宋体" w:cs="宋体"/>
          <w:lang w:val="en-US" w:eastAsia="zh-CN"/>
        </w:rPr>
        <w:t xml:space="preserve"> </w:t>
      </w:r>
      <w:r>
        <w:rPr>
          <w:rFonts w:hint="eastAsia" w:ascii="宋体" w:hAnsi="宋体" w:eastAsia="宋体" w:cs="宋体"/>
          <w:lang w:eastAsia="zh-CN"/>
        </w:rPr>
        <w:t>必须</w:t>
      </w:r>
      <w:r>
        <w:rPr>
          <w:rFonts w:hint="eastAsia" w:ascii="宋体" w:hAnsi="宋体" w:eastAsia="宋体" w:cs="宋体"/>
        </w:rPr>
        <w:t>服从市联动指挥中心指令，</w:t>
      </w:r>
      <w:r>
        <w:rPr>
          <w:rFonts w:hint="eastAsia" w:ascii="宋体" w:hAnsi="宋体" w:eastAsia="宋体" w:cs="宋体"/>
          <w:lang w:eastAsia="zh-CN"/>
        </w:rPr>
        <w:t>及时响应，迅速组织开展救援、救助和处置行动。</w:t>
      </w:r>
      <w:r>
        <w:rPr>
          <w:rFonts w:hint="eastAsia" w:ascii="宋体" w:hAnsi="宋体" w:eastAsia="宋体" w:cs="宋体"/>
          <w:lang w:val="en-US" w:eastAsia="zh-CN"/>
        </w:rPr>
        <w:t xml:space="preserve"> </w:t>
      </w:r>
    </w:p>
    <w:p>
      <w:pPr>
        <w:pStyle w:val="26"/>
        <w:spacing w:before="0" w:beforeLines="0" w:after="0" w:afterLines="0"/>
        <w:rPr>
          <w:rFonts w:hint="eastAsia" w:ascii="宋体" w:hAnsi="宋体" w:eastAsia="宋体" w:cs="宋体"/>
        </w:rPr>
      </w:pPr>
      <w:r>
        <w:rPr>
          <w:rFonts w:hint="eastAsia" w:ascii="宋体" w:hAnsi="宋体" w:eastAsia="宋体" w:cs="宋体"/>
        </w:rPr>
        <w:t>对</w:t>
      </w:r>
      <w:r>
        <w:rPr>
          <w:rFonts w:hint="eastAsia" w:ascii="宋体" w:hAnsi="宋体" w:eastAsia="宋体" w:cs="宋体"/>
          <w:lang w:eastAsia="zh-CN"/>
        </w:rPr>
        <w:t>发生职责交叉等情况时，实行“首接负责制”，按照“先受理、先处置、后移交”的原则</w:t>
      </w:r>
      <w:r>
        <w:rPr>
          <w:rFonts w:hint="eastAsia" w:ascii="宋体" w:hAnsi="宋体" w:eastAsia="宋体" w:cs="宋体"/>
        </w:rPr>
        <w:t>。</w:t>
      </w:r>
    </w:p>
    <w:p>
      <w:pPr>
        <w:pStyle w:val="26"/>
        <w:spacing w:before="0" w:beforeLines="0" w:after="0" w:afterLines="0"/>
        <w:rPr>
          <w:rFonts w:hint="eastAsia" w:ascii="宋体" w:hAnsi="宋体" w:eastAsia="宋体" w:cs="宋体"/>
        </w:rPr>
      </w:pPr>
      <w:r>
        <w:rPr>
          <w:rFonts w:hint="eastAsia" w:ascii="宋体" w:hAnsi="宋体" w:eastAsia="宋体" w:cs="宋体"/>
        </w:rPr>
        <w:t>对特别重要紧急的救助，市联动指挥中心可直接指令联动单位的下属部门派员前往现场处置，并及时通报其上级主管部门。</w:t>
      </w:r>
    </w:p>
    <w:p>
      <w:pPr>
        <w:pStyle w:val="25"/>
        <w:rPr>
          <w:rFonts w:hint="eastAsia"/>
        </w:rPr>
      </w:pPr>
      <w:r>
        <w:rPr>
          <w:rFonts w:hint="eastAsia"/>
        </w:rPr>
        <w:t>分</w:t>
      </w:r>
      <w:r>
        <w:rPr>
          <w:rFonts w:hint="eastAsia"/>
          <w:lang w:val="en-US" w:eastAsia="zh-CN"/>
        </w:rPr>
        <w:t xml:space="preserve">级 </w:t>
      </w:r>
    </w:p>
    <w:p>
      <w:pPr>
        <w:pStyle w:val="26"/>
        <w:rPr>
          <w:rFonts w:hint="eastAsia"/>
        </w:rPr>
      </w:pPr>
      <w:r>
        <w:rPr>
          <w:rFonts w:hint="eastAsia"/>
        </w:rPr>
        <w:t>一级联动单位</w:t>
      </w:r>
    </w:p>
    <w:p>
      <w:pPr>
        <w:pStyle w:val="21"/>
        <w:rPr>
          <w:rFonts w:hint="eastAsia"/>
          <w:lang w:val="en-US"/>
        </w:rPr>
      </w:pPr>
      <w:r>
        <w:rPr>
          <w:rFonts w:hint="eastAsia"/>
          <w:lang w:eastAsia="zh-CN"/>
        </w:rPr>
        <w:t>指公安、消防、医疗急救等承担经常性社会服务、紧急救援和应急处置的部门，以及水、电、气等与民生密切相关的公用事业单位，必须建立</w:t>
      </w:r>
      <w:r>
        <w:rPr>
          <w:rFonts w:hint="eastAsia"/>
          <w:lang w:val="en-US" w:eastAsia="zh-CN"/>
        </w:rPr>
        <w:t>24小时值班制度和定值班场所、定专门队伍、定职责任务的“三定”制度，既要独立接受群众来电求助救援，也要按照社会联动指挥中心指令开展处置工作。</w:t>
      </w:r>
    </w:p>
    <w:p>
      <w:pPr>
        <w:pStyle w:val="26"/>
        <w:rPr>
          <w:rFonts w:hint="eastAsia"/>
        </w:rPr>
      </w:pPr>
      <w:r>
        <w:rPr>
          <w:rFonts w:hint="eastAsia"/>
          <w:lang w:eastAsia="zh-CN"/>
        </w:rPr>
        <w:t>二</w:t>
      </w:r>
      <w:r>
        <w:rPr>
          <w:rFonts w:hint="eastAsia"/>
        </w:rPr>
        <w:t>级联动单位</w:t>
      </w:r>
    </w:p>
    <w:p>
      <w:pPr>
        <w:pStyle w:val="21"/>
        <w:rPr>
          <w:rFonts w:hint="eastAsia"/>
        </w:rPr>
      </w:pPr>
      <w:r>
        <w:rPr>
          <w:rFonts w:hint="eastAsia"/>
          <w:lang w:eastAsia="zh-CN"/>
        </w:rPr>
        <w:t>指</w:t>
      </w:r>
      <w:r>
        <w:rPr>
          <w:rFonts w:hint="eastAsia"/>
        </w:rPr>
        <w:t>具备</w:t>
      </w:r>
      <w:r>
        <w:rPr>
          <w:rFonts w:hint="eastAsia"/>
          <w:lang w:eastAsia="zh-CN"/>
        </w:rPr>
        <w:t>劳动监管</w:t>
      </w:r>
      <w:r>
        <w:rPr>
          <w:rFonts w:hint="eastAsia"/>
        </w:rPr>
        <w:t>、道路运输、环境保护、城市管理等职能的部门，实行24小时值班备勤制度或夜间紧急处理机制，配备必要的</w:t>
      </w:r>
      <w:r>
        <w:rPr>
          <w:rFonts w:hint="eastAsia"/>
          <w:lang w:eastAsia="zh-CN"/>
        </w:rPr>
        <w:t>联动</w:t>
      </w:r>
      <w:r>
        <w:rPr>
          <w:rFonts w:hint="eastAsia"/>
        </w:rPr>
        <w:t>处置力量</w:t>
      </w:r>
      <w:r>
        <w:rPr>
          <w:rFonts w:hint="eastAsia"/>
          <w:lang w:eastAsia="zh-CN"/>
        </w:rPr>
        <w:t>与</w:t>
      </w:r>
      <w:r>
        <w:rPr>
          <w:rFonts w:hint="eastAsia"/>
        </w:rPr>
        <w:t>装备</w:t>
      </w:r>
      <w:r>
        <w:rPr>
          <w:rFonts w:hint="eastAsia"/>
          <w:lang w:eastAsia="zh-CN"/>
        </w:rPr>
        <w:t>，确保随时承担社会联动指挥中心下达的处置任务，并按要求开展现场处置工作</w:t>
      </w:r>
      <w:r>
        <w:rPr>
          <w:rFonts w:hint="eastAsia"/>
        </w:rPr>
        <w:t>。</w:t>
      </w:r>
    </w:p>
    <w:p>
      <w:pPr>
        <w:pStyle w:val="26"/>
        <w:rPr>
          <w:rFonts w:hint="eastAsia"/>
          <w:lang w:val="en-US" w:eastAsia="zh-CN"/>
        </w:rPr>
      </w:pPr>
      <w:r>
        <w:rPr>
          <w:rFonts w:hint="eastAsia"/>
          <w:lang w:val="en-US" w:eastAsia="zh-CN"/>
        </w:rPr>
        <w:t xml:space="preserve">三级联动单位 </w:t>
      </w:r>
    </w:p>
    <w:p>
      <w:pPr>
        <w:pStyle w:val="26"/>
        <w:numPr>
          <w:ilvl w:val="-1"/>
          <w:numId w:val="0"/>
        </w:numPr>
        <w:ind w:firstLine="420" w:firstLineChars="200"/>
        <w:rPr>
          <w:rFonts w:hint="eastAsia" w:ascii="宋体" w:hAnsi="Times New Roman" w:eastAsia="宋体" w:cs="Times New Roman"/>
          <w:sz w:val="21"/>
          <w:szCs w:val="22"/>
          <w:lang w:val="en-US" w:eastAsia="zh-CN" w:bidi="ar-SA"/>
        </w:rPr>
      </w:pPr>
      <w:r>
        <w:rPr>
          <w:rFonts w:hint="eastAsia" w:ascii="宋体" w:eastAsia="宋体" w:cs="Times New Roman"/>
          <w:sz w:val="21"/>
          <w:szCs w:val="22"/>
          <w:lang w:val="en-US" w:eastAsia="zh-CN" w:bidi="ar-SA"/>
        </w:rPr>
        <w:t>指</w:t>
      </w:r>
      <w:r>
        <w:rPr>
          <w:rFonts w:hint="eastAsia" w:ascii="宋体" w:hAnsi="Times New Roman" w:eastAsia="宋体" w:cs="Times New Roman"/>
          <w:sz w:val="21"/>
          <w:szCs w:val="22"/>
          <w:lang w:val="en-US" w:eastAsia="zh-CN" w:bidi="ar-SA"/>
        </w:rPr>
        <w:t>具备农业各产业保障、宗教事务管理、信息传输服务等职能的部门，实行24小时值班备勤制度，配备必要的联动处置力量和装备</w:t>
      </w:r>
      <w:r>
        <w:rPr>
          <w:rFonts w:hint="eastAsia" w:ascii="宋体" w:eastAsia="宋体" w:cs="Times New Roman"/>
          <w:sz w:val="21"/>
          <w:szCs w:val="22"/>
          <w:lang w:val="en-US" w:eastAsia="zh-CN" w:bidi="ar-SA"/>
        </w:rPr>
        <w:t>，承担社会联动指挥中心下达的处置任务，做好保障、咨询、宣传等工作</w:t>
      </w:r>
      <w:r>
        <w:rPr>
          <w:rFonts w:hint="eastAsia" w:ascii="宋体" w:hAnsi="Times New Roman" w:eastAsia="宋体" w:cs="Times New Roman"/>
          <w:sz w:val="21"/>
          <w:szCs w:val="22"/>
          <w:lang w:val="en-US" w:eastAsia="zh-CN" w:bidi="ar-SA"/>
        </w:rPr>
        <w:t>。</w:t>
      </w:r>
    </w:p>
    <w:p>
      <w:pPr>
        <w:pStyle w:val="25"/>
        <w:rPr>
          <w:rFonts w:hint="eastAsia"/>
        </w:rPr>
      </w:pPr>
      <w:r>
        <w:rPr>
          <w:rFonts w:hint="eastAsia"/>
        </w:rPr>
        <w:t>职责</w:t>
      </w:r>
    </w:p>
    <w:p>
      <w:pPr>
        <w:pStyle w:val="26"/>
        <w:rPr>
          <w:rFonts w:hint="eastAsia"/>
        </w:rPr>
      </w:pPr>
      <w:r>
        <w:rPr>
          <w:rFonts w:hint="eastAsia"/>
        </w:rPr>
        <w:t>社会联动指挥中心</w:t>
      </w:r>
    </w:p>
    <w:p>
      <w:pPr>
        <w:pStyle w:val="21"/>
        <w:rPr>
          <w:rFonts w:hint="default" w:eastAsia="宋体"/>
          <w:lang w:val="en-US" w:eastAsia="zh-CN"/>
        </w:rPr>
      </w:pPr>
      <w:r>
        <w:rPr>
          <w:rFonts w:hint="eastAsia"/>
          <w:lang w:val="en-US" w:eastAsia="zh-CN"/>
        </w:rPr>
        <w:t>社会联动指挥中心职责包括但不限于：</w:t>
      </w:r>
    </w:p>
    <w:p>
      <w:pPr>
        <w:pStyle w:val="27"/>
        <w:rPr>
          <w:rFonts w:hint="eastAsia"/>
          <w:szCs w:val="22"/>
        </w:rPr>
      </w:pPr>
      <w:r>
        <w:rPr>
          <w:rFonts w:hint="eastAsia"/>
          <w:szCs w:val="22"/>
        </w:rPr>
        <w:t>负责受理</w:t>
      </w:r>
      <w:r>
        <w:rPr>
          <w:rFonts w:hint="eastAsia"/>
          <w:szCs w:val="22"/>
          <w:lang w:eastAsia="zh-CN"/>
        </w:rPr>
        <w:t>本级行政</w:t>
      </w:r>
      <w:r>
        <w:rPr>
          <w:rFonts w:hint="eastAsia"/>
          <w:szCs w:val="22"/>
        </w:rPr>
        <w:t>范围内</w:t>
      </w:r>
      <w:r>
        <w:rPr>
          <w:rFonts w:hint="eastAsia"/>
          <w:szCs w:val="22"/>
          <w:lang w:eastAsia="zh-CN"/>
        </w:rPr>
        <w:t>接报的各类社会联动事件</w:t>
      </w:r>
      <w:r>
        <w:rPr>
          <w:rFonts w:hint="eastAsia"/>
          <w:szCs w:val="22"/>
        </w:rPr>
        <w:t>；</w:t>
      </w:r>
    </w:p>
    <w:p>
      <w:pPr>
        <w:pStyle w:val="27"/>
        <w:rPr>
          <w:rFonts w:hint="eastAsia"/>
          <w:szCs w:val="22"/>
        </w:rPr>
      </w:pPr>
      <w:r>
        <w:rPr>
          <w:rFonts w:hint="eastAsia"/>
          <w:szCs w:val="22"/>
        </w:rPr>
        <w:t>负责</w:t>
      </w:r>
      <w:r>
        <w:rPr>
          <w:rFonts w:hint="eastAsia"/>
          <w:szCs w:val="22"/>
          <w:lang w:eastAsia="zh-CN"/>
        </w:rPr>
        <w:t>指挥、调度联动单位开展联动事件处置工作</w:t>
      </w:r>
      <w:r>
        <w:rPr>
          <w:rFonts w:hint="eastAsia"/>
          <w:szCs w:val="22"/>
        </w:rPr>
        <w:t>；</w:t>
      </w:r>
    </w:p>
    <w:p>
      <w:pPr>
        <w:pStyle w:val="27"/>
        <w:rPr>
          <w:rFonts w:hint="eastAsia"/>
          <w:szCs w:val="22"/>
        </w:rPr>
      </w:pPr>
      <w:r>
        <w:rPr>
          <w:rFonts w:hint="eastAsia"/>
          <w:szCs w:val="22"/>
        </w:rPr>
        <w:t>负责组织联动单位对</w:t>
      </w:r>
      <w:r>
        <w:rPr>
          <w:rFonts w:hint="eastAsia"/>
          <w:szCs w:val="22"/>
          <w:lang w:eastAsia="zh-CN"/>
        </w:rPr>
        <w:t>各类</w:t>
      </w:r>
      <w:r>
        <w:rPr>
          <w:rFonts w:hint="eastAsia"/>
          <w:szCs w:val="22"/>
        </w:rPr>
        <w:t>突发事件进行先期联动处置，并协助有关职能部门或专项指挥机构实施后续处置；</w:t>
      </w:r>
    </w:p>
    <w:p>
      <w:pPr>
        <w:pStyle w:val="27"/>
        <w:rPr>
          <w:rFonts w:hint="eastAsia"/>
          <w:szCs w:val="22"/>
        </w:rPr>
      </w:pPr>
      <w:r>
        <w:rPr>
          <w:rFonts w:hint="eastAsia"/>
          <w:szCs w:val="22"/>
        </w:rPr>
        <w:t>负责对全市联动工作进行</w:t>
      </w:r>
      <w:r>
        <w:rPr>
          <w:rFonts w:hint="eastAsia"/>
          <w:szCs w:val="22"/>
          <w:lang w:eastAsia="zh-CN"/>
        </w:rPr>
        <w:t>督导</w:t>
      </w:r>
      <w:r>
        <w:rPr>
          <w:rFonts w:hint="eastAsia"/>
          <w:szCs w:val="22"/>
        </w:rPr>
        <w:t>和考核</w:t>
      </w:r>
      <w:r>
        <w:rPr>
          <w:rFonts w:hint="eastAsia"/>
          <w:szCs w:val="22"/>
          <w:lang w:eastAsia="zh-CN"/>
        </w:rPr>
        <w:t>通报</w:t>
      </w:r>
      <w:r>
        <w:rPr>
          <w:rFonts w:hint="eastAsia"/>
          <w:szCs w:val="22"/>
        </w:rPr>
        <w:t>；</w:t>
      </w:r>
    </w:p>
    <w:p>
      <w:pPr>
        <w:pStyle w:val="27"/>
        <w:rPr>
          <w:rFonts w:hint="eastAsia"/>
          <w:szCs w:val="22"/>
        </w:rPr>
      </w:pPr>
      <w:r>
        <w:rPr>
          <w:rFonts w:hint="eastAsia"/>
          <w:szCs w:val="22"/>
        </w:rPr>
        <w:t>市政府授予的其他职责。</w:t>
      </w:r>
    </w:p>
    <w:p>
      <w:pPr>
        <w:pStyle w:val="26"/>
        <w:rPr>
          <w:rFonts w:hint="eastAsia"/>
        </w:rPr>
      </w:pPr>
      <w:r>
        <w:t>联动单位</w:t>
      </w:r>
    </w:p>
    <w:p>
      <w:pPr>
        <w:pStyle w:val="21"/>
        <w:rPr>
          <w:rFonts w:hint="default" w:eastAsia="宋体"/>
          <w:lang w:val="en-US" w:eastAsia="zh-CN"/>
        </w:rPr>
      </w:pPr>
      <w:r>
        <w:rPr>
          <w:rFonts w:hint="eastAsia"/>
          <w:lang w:val="en-US" w:eastAsia="zh-CN"/>
        </w:rPr>
        <w:t>联动单位职责包括但不限于：</w:t>
      </w:r>
    </w:p>
    <w:p>
      <w:pPr>
        <w:pStyle w:val="27"/>
        <w:rPr>
          <w:rFonts w:hint="eastAsia"/>
          <w:szCs w:val="22"/>
        </w:rPr>
      </w:pPr>
      <w:r>
        <w:rPr>
          <w:rFonts w:hint="eastAsia"/>
          <w:szCs w:val="22"/>
        </w:rPr>
        <w:t>设立</w:t>
      </w:r>
      <w:r>
        <w:rPr>
          <w:rFonts w:hint="eastAsia"/>
          <w:szCs w:val="22"/>
          <w:lang w:eastAsia="zh-CN"/>
        </w:rPr>
        <w:t>联动</w:t>
      </w:r>
      <w:r>
        <w:rPr>
          <w:rFonts w:hint="eastAsia"/>
          <w:szCs w:val="22"/>
        </w:rPr>
        <w:t>处置指挥机构，建立24小时值班备勤制度，并视情设值班长（指挥长），做好</w:t>
      </w:r>
      <w:r>
        <w:rPr>
          <w:rFonts w:hint="eastAsia"/>
          <w:szCs w:val="22"/>
          <w:lang w:eastAsia="zh-CN"/>
        </w:rPr>
        <w:t>联动</w:t>
      </w:r>
      <w:r>
        <w:rPr>
          <w:rFonts w:hint="eastAsia"/>
          <w:szCs w:val="22"/>
        </w:rPr>
        <w:t>处置准备；</w:t>
      </w:r>
    </w:p>
    <w:p>
      <w:pPr>
        <w:pStyle w:val="27"/>
        <w:rPr>
          <w:rFonts w:hint="eastAsia"/>
          <w:szCs w:val="22"/>
        </w:rPr>
      </w:pPr>
      <w:r>
        <w:rPr>
          <w:rFonts w:hint="eastAsia"/>
          <w:szCs w:val="22"/>
        </w:rPr>
        <w:t>按照</w:t>
      </w:r>
      <w:r>
        <w:rPr>
          <w:rFonts w:hint="eastAsia"/>
          <w:szCs w:val="22"/>
          <w:lang w:eastAsia="zh-CN"/>
        </w:rPr>
        <w:t>日常联动</w:t>
      </w:r>
      <w:r>
        <w:rPr>
          <w:rFonts w:hint="eastAsia"/>
          <w:szCs w:val="22"/>
        </w:rPr>
        <w:t>处置的实际需要，组建和管理</w:t>
      </w:r>
      <w:r>
        <w:rPr>
          <w:rFonts w:hint="eastAsia"/>
          <w:szCs w:val="22"/>
          <w:lang w:eastAsia="zh-CN"/>
        </w:rPr>
        <w:t>联动</w:t>
      </w:r>
      <w:r>
        <w:rPr>
          <w:rFonts w:hint="eastAsia"/>
          <w:szCs w:val="22"/>
        </w:rPr>
        <w:t>处置队伍、专家队伍，组织开展</w:t>
      </w:r>
      <w:r>
        <w:rPr>
          <w:rFonts w:hint="eastAsia"/>
          <w:szCs w:val="22"/>
          <w:lang w:eastAsia="zh-CN"/>
        </w:rPr>
        <w:t>联动培训</w:t>
      </w:r>
      <w:r>
        <w:rPr>
          <w:rFonts w:hint="eastAsia"/>
          <w:szCs w:val="22"/>
        </w:rPr>
        <w:t>和演练；</w:t>
      </w:r>
    </w:p>
    <w:p>
      <w:pPr>
        <w:pStyle w:val="27"/>
        <w:rPr>
          <w:rFonts w:hint="eastAsia"/>
          <w:szCs w:val="22"/>
        </w:rPr>
      </w:pPr>
      <w:r>
        <w:rPr>
          <w:rFonts w:hint="eastAsia"/>
          <w:szCs w:val="22"/>
        </w:rPr>
        <w:t>按照规定，配备、管理、使用</w:t>
      </w:r>
      <w:r>
        <w:rPr>
          <w:rFonts w:hint="eastAsia"/>
          <w:szCs w:val="22"/>
          <w:lang w:eastAsia="zh-CN"/>
        </w:rPr>
        <w:t>联动</w:t>
      </w:r>
      <w:r>
        <w:rPr>
          <w:rFonts w:hint="eastAsia"/>
          <w:szCs w:val="22"/>
        </w:rPr>
        <w:t>处置的专业设备、器材、车辆、通信工具等装备、物资和经费，保持</w:t>
      </w:r>
      <w:r>
        <w:rPr>
          <w:rFonts w:hint="eastAsia"/>
          <w:szCs w:val="22"/>
          <w:lang w:eastAsia="zh-CN"/>
        </w:rPr>
        <w:t>相应</w:t>
      </w:r>
      <w:r>
        <w:rPr>
          <w:rFonts w:hint="eastAsia"/>
          <w:szCs w:val="22"/>
        </w:rPr>
        <w:t>处置装备、物资的完好，确保通信</w:t>
      </w:r>
      <w:r>
        <w:rPr>
          <w:rFonts w:hint="eastAsia"/>
          <w:szCs w:val="22"/>
          <w:lang w:eastAsia="zh-CN"/>
        </w:rPr>
        <w:t>渠道</w:t>
      </w:r>
      <w:r>
        <w:rPr>
          <w:rFonts w:hint="eastAsia"/>
          <w:szCs w:val="22"/>
        </w:rPr>
        <w:t>的畅通；</w:t>
      </w:r>
    </w:p>
    <w:p>
      <w:pPr>
        <w:pStyle w:val="27"/>
        <w:rPr>
          <w:rFonts w:hint="eastAsia"/>
          <w:szCs w:val="22"/>
        </w:rPr>
      </w:pPr>
      <w:r>
        <w:rPr>
          <w:rFonts w:hint="eastAsia"/>
          <w:szCs w:val="22"/>
        </w:rPr>
        <w:t>接到社会联动指挥中心指令后，</w:t>
      </w:r>
      <w:r>
        <w:rPr>
          <w:rFonts w:hint="eastAsia"/>
          <w:szCs w:val="22"/>
          <w:lang w:eastAsia="zh-CN"/>
        </w:rPr>
        <w:t>必须立即按要求开展处置工作，及时反馈到达情况、处置情况和结果</w:t>
      </w:r>
      <w:r>
        <w:rPr>
          <w:rFonts w:hint="eastAsia"/>
          <w:szCs w:val="22"/>
        </w:rPr>
        <w:t>；</w:t>
      </w:r>
    </w:p>
    <w:p>
      <w:pPr>
        <w:pStyle w:val="27"/>
        <w:rPr>
          <w:rFonts w:hint="eastAsia"/>
          <w:szCs w:val="22"/>
        </w:rPr>
      </w:pPr>
      <w:r>
        <w:rPr>
          <w:rFonts w:hint="eastAsia"/>
          <w:szCs w:val="22"/>
        </w:rPr>
        <w:t>加强信息资源的交流与共享，为</w:t>
      </w:r>
      <w:r>
        <w:rPr>
          <w:rFonts w:hint="eastAsia"/>
          <w:szCs w:val="22"/>
          <w:lang w:eastAsia="zh-CN"/>
        </w:rPr>
        <w:t>联动处置</w:t>
      </w:r>
      <w:r>
        <w:rPr>
          <w:rFonts w:hint="eastAsia"/>
          <w:szCs w:val="22"/>
        </w:rPr>
        <w:t>提供及时、准确、全面的基础材料、数据、情况及其他有关信息；</w:t>
      </w:r>
    </w:p>
    <w:p>
      <w:pPr>
        <w:pStyle w:val="27"/>
        <w:rPr>
          <w:rFonts w:hint="eastAsia"/>
          <w:szCs w:val="22"/>
        </w:rPr>
      </w:pPr>
      <w:r>
        <w:rPr>
          <w:rFonts w:hint="eastAsia"/>
          <w:szCs w:val="22"/>
        </w:rPr>
        <w:t>法律、法规、规章规定的其他职责。</w:t>
      </w:r>
    </w:p>
    <w:p>
      <w:pPr>
        <w:pStyle w:val="25"/>
        <w:rPr>
          <w:rFonts w:hint="eastAsia"/>
        </w:rPr>
      </w:pPr>
      <w:r>
        <w:rPr>
          <w:rFonts w:hint="eastAsia"/>
        </w:rPr>
        <w:t>程序</w:t>
      </w:r>
    </w:p>
    <w:p>
      <w:pPr>
        <w:pStyle w:val="26"/>
        <w:rPr>
          <w:rFonts w:hint="eastAsia"/>
        </w:rPr>
      </w:pPr>
      <w:r>
        <w:rPr>
          <w:rFonts w:hint="eastAsia"/>
        </w:rPr>
        <w:t>接</w:t>
      </w:r>
      <w:r>
        <w:rPr>
          <w:rFonts w:hint="eastAsia"/>
          <w:lang w:eastAsia="zh-CN"/>
        </w:rPr>
        <w:t>报</w:t>
      </w:r>
    </w:p>
    <w:p>
      <w:pPr>
        <w:pStyle w:val="21"/>
        <w:rPr>
          <w:szCs w:val="22"/>
        </w:rPr>
      </w:pPr>
      <w:r>
        <w:rPr>
          <w:rFonts w:hint="eastAsia"/>
          <w:szCs w:val="22"/>
        </w:rPr>
        <w:t>社会</w:t>
      </w:r>
      <w:r>
        <w:rPr>
          <w:szCs w:val="22"/>
        </w:rPr>
        <w:t>联动</w:t>
      </w:r>
      <w:r>
        <w:rPr>
          <w:rFonts w:hint="eastAsia"/>
          <w:szCs w:val="22"/>
          <w:lang w:eastAsia="zh-CN"/>
        </w:rPr>
        <w:t>指挥</w:t>
      </w:r>
      <w:r>
        <w:rPr>
          <w:szCs w:val="22"/>
        </w:rPr>
        <w:t>中心接</w:t>
      </w:r>
      <w:r>
        <w:rPr>
          <w:rFonts w:hint="eastAsia"/>
          <w:szCs w:val="22"/>
          <w:lang w:eastAsia="zh-CN"/>
        </w:rPr>
        <w:t>报联动事件后</w:t>
      </w:r>
      <w:r>
        <w:rPr>
          <w:szCs w:val="22"/>
        </w:rPr>
        <w:t>，应</w:t>
      </w:r>
      <w:r>
        <w:rPr>
          <w:rFonts w:hint="eastAsia"/>
          <w:szCs w:val="22"/>
          <w:lang w:eastAsia="zh-CN"/>
        </w:rPr>
        <w:t>按照联动工作要求</w:t>
      </w:r>
      <w:r>
        <w:rPr>
          <w:szCs w:val="22"/>
        </w:rPr>
        <w:t>向有关联动单位下达指令，组织</w:t>
      </w:r>
      <w:r>
        <w:rPr>
          <w:rFonts w:hint="eastAsia"/>
          <w:szCs w:val="22"/>
          <w:lang w:eastAsia="zh-CN"/>
        </w:rPr>
        <w:t>、督导、协调</w:t>
      </w:r>
      <w:r>
        <w:rPr>
          <w:szCs w:val="22"/>
        </w:rPr>
        <w:t>有关联动单位</w:t>
      </w:r>
      <w:r>
        <w:rPr>
          <w:rFonts w:hint="eastAsia"/>
          <w:szCs w:val="22"/>
          <w:lang w:eastAsia="zh-CN"/>
        </w:rPr>
        <w:t>落实</w:t>
      </w:r>
      <w:r>
        <w:rPr>
          <w:szCs w:val="22"/>
        </w:rPr>
        <w:t>处置。</w:t>
      </w:r>
    </w:p>
    <w:p>
      <w:pPr>
        <w:pStyle w:val="26"/>
        <w:rPr>
          <w:rFonts w:hint="eastAsia"/>
        </w:rPr>
      </w:pPr>
      <w:r>
        <w:rPr>
          <w:rFonts w:hint="eastAsia"/>
        </w:rPr>
        <w:t>处</w:t>
      </w:r>
      <w:r>
        <w:rPr>
          <w:rFonts w:hint="eastAsia"/>
          <w:lang w:eastAsia="zh-CN"/>
        </w:rPr>
        <w:t>置</w:t>
      </w:r>
    </w:p>
    <w:p>
      <w:pPr>
        <w:pStyle w:val="21"/>
        <w:ind w:left="0" w:leftChars="0" w:firstLine="0" w:firstLineChars="0"/>
        <w:rPr>
          <w:rFonts w:hint="eastAsia"/>
          <w:szCs w:val="22"/>
        </w:rPr>
      </w:pPr>
      <w:r>
        <w:rPr>
          <w:rFonts w:hint="eastAsia" w:ascii="黑体" w:hAnsi="黑体" w:eastAsia="黑体" w:cs="黑体"/>
          <w:szCs w:val="22"/>
          <w:lang w:val="en-US" w:eastAsia="zh-CN"/>
        </w:rPr>
        <w:t xml:space="preserve">7.2.1 </w:t>
      </w:r>
      <w:r>
        <w:rPr>
          <w:rFonts w:hint="eastAsia"/>
          <w:szCs w:val="22"/>
        </w:rPr>
        <w:t>接到</w:t>
      </w:r>
      <w:r>
        <w:rPr>
          <w:rFonts w:hint="eastAsia"/>
          <w:szCs w:val="22"/>
          <w:lang w:eastAsia="zh-CN"/>
        </w:rPr>
        <w:t>社会联动指挥中心</w:t>
      </w:r>
      <w:r>
        <w:rPr>
          <w:rFonts w:hint="eastAsia"/>
          <w:szCs w:val="22"/>
        </w:rPr>
        <w:t>指令后，</w:t>
      </w:r>
      <w:r>
        <w:rPr>
          <w:rFonts w:hint="eastAsia"/>
          <w:szCs w:val="22"/>
          <w:lang w:eastAsia="zh-CN"/>
        </w:rPr>
        <w:t>联动单位应按照联动工作要求立即开展处置工作，不得推诿、迟缓</w:t>
      </w:r>
      <w:r>
        <w:rPr>
          <w:rFonts w:hint="eastAsia"/>
          <w:szCs w:val="22"/>
        </w:rPr>
        <w:t>。</w:t>
      </w:r>
    </w:p>
    <w:p>
      <w:pPr>
        <w:pStyle w:val="21"/>
        <w:ind w:left="0" w:leftChars="0" w:firstLine="0" w:firstLineChars="0"/>
        <w:rPr>
          <w:rFonts w:hint="eastAsia"/>
        </w:rPr>
      </w:pPr>
      <w:r>
        <w:rPr>
          <w:rFonts w:hint="eastAsia" w:ascii="黑体" w:hAnsi="黑体" w:eastAsia="黑体" w:cs="黑体"/>
          <w:szCs w:val="22"/>
          <w:lang w:val="en-US" w:eastAsia="zh-CN"/>
        </w:rPr>
        <w:t xml:space="preserve">7.2.2 </w:t>
      </w:r>
      <w:r>
        <w:rPr>
          <w:rFonts w:hint="eastAsia"/>
          <w:szCs w:val="22"/>
          <w:lang w:eastAsia="zh-CN"/>
        </w:rPr>
        <w:t>对明确不属于本部门职责范围的事件应立即向社会联动指挥中心报告，经社会联动指挥中心同意后移交相关职能部门。</w:t>
      </w:r>
    </w:p>
    <w:p>
      <w:pPr>
        <w:pStyle w:val="28"/>
        <w:numPr>
          <w:ilvl w:val="2"/>
          <w:numId w:val="0"/>
        </w:numPr>
        <w:rPr>
          <w:rFonts w:hint="eastAsia"/>
        </w:rPr>
      </w:pPr>
      <w:r>
        <w:rPr>
          <w:rFonts w:hint="eastAsia" w:ascii="黑体" w:hAnsi="黑体" w:eastAsia="黑体" w:cs="黑体"/>
          <w:lang w:val="en-US" w:eastAsia="zh-CN"/>
        </w:rPr>
        <w:t>7.2.3</w:t>
      </w:r>
      <w:r>
        <w:rPr>
          <w:rFonts w:hint="eastAsia"/>
          <w:lang w:val="en-US" w:eastAsia="zh-CN"/>
        </w:rPr>
        <w:t xml:space="preserve"> </w:t>
      </w:r>
      <w:r>
        <w:rPr>
          <w:rFonts w:hint="eastAsia"/>
        </w:rPr>
        <w:t>联动单位</w:t>
      </w:r>
      <w:r>
        <w:rPr>
          <w:rFonts w:hint="eastAsia"/>
          <w:lang w:eastAsia="zh-CN"/>
        </w:rPr>
        <w:t>在执行指令过程中，发现超出现场人员处置范围的</w:t>
      </w:r>
      <w:r>
        <w:rPr>
          <w:rFonts w:hint="eastAsia"/>
        </w:rPr>
        <w:t>事件时，应</w:t>
      </w:r>
      <w:r>
        <w:rPr>
          <w:rFonts w:hint="eastAsia"/>
          <w:lang w:eastAsia="zh-CN"/>
        </w:rPr>
        <w:t>在调度本部门增援力量的同时向</w:t>
      </w:r>
      <w:r>
        <w:rPr>
          <w:rFonts w:hint="eastAsia"/>
        </w:rPr>
        <w:t>社会联动</w:t>
      </w:r>
      <w:r>
        <w:rPr>
          <w:rFonts w:hint="eastAsia"/>
          <w:lang w:eastAsia="zh-CN"/>
        </w:rPr>
        <w:t>指挥</w:t>
      </w:r>
      <w:r>
        <w:rPr>
          <w:rFonts w:hint="eastAsia"/>
        </w:rPr>
        <w:t>中心</w:t>
      </w:r>
      <w:r>
        <w:rPr>
          <w:rFonts w:hint="eastAsia"/>
          <w:lang w:eastAsia="zh-CN"/>
        </w:rPr>
        <w:t>报告</w:t>
      </w:r>
      <w:r>
        <w:rPr>
          <w:rFonts w:hint="eastAsia"/>
          <w:lang w:val="en-US" w:eastAsia="zh-CN"/>
        </w:rPr>
        <w:t>，必要时向</w:t>
      </w:r>
      <w:r>
        <w:rPr>
          <w:rFonts w:hint="eastAsia"/>
          <w:lang w:eastAsia="zh-CN"/>
        </w:rPr>
        <w:t>社会联动指挥中心提请增援，</w:t>
      </w:r>
      <w:r>
        <w:rPr>
          <w:rFonts w:hint="eastAsia"/>
        </w:rPr>
        <w:t>不得</w:t>
      </w:r>
      <w:r>
        <w:rPr>
          <w:rFonts w:hint="eastAsia"/>
          <w:lang w:eastAsia="zh-CN"/>
        </w:rPr>
        <w:t>畏难退缩、</w:t>
      </w:r>
      <w:r>
        <w:rPr>
          <w:rFonts w:hint="eastAsia"/>
        </w:rPr>
        <w:t>搁置延误。</w:t>
      </w:r>
    </w:p>
    <w:p>
      <w:pPr>
        <w:pStyle w:val="26"/>
        <w:rPr>
          <w:rFonts w:hint="eastAsia"/>
        </w:rPr>
      </w:pPr>
      <w:r>
        <w:rPr>
          <w:rFonts w:hint="eastAsia"/>
        </w:rPr>
        <w:t>反馈</w:t>
      </w:r>
    </w:p>
    <w:p>
      <w:pPr>
        <w:pStyle w:val="21"/>
        <w:ind w:left="0" w:leftChars="0" w:firstLine="0" w:firstLineChars="0"/>
        <w:rPr>
          <w:rFonts w:hint="eastAsia"/>
          <w:szCs w:val="22"/>
          <w:lang w:val="en-US" w:eastAsia="zh-CN"/>
        </w:rPr>
      </w:pPr>
      <w:r>
        <w:rPr>
          <w:rFonts w:hint="eastAsia" w:ascii="黑体" w:hAnsi="黑体" w:eastAsia="黑体" w:cs="黑体"/>
          <w:szCs w:val="22"/>
          <w:lang w:val="en-US" w:eastAsia="zh-CN"/>
        </w:rPr>
        <w:t xml:space="preserve">7.3.1 </w:t>
      </w:r>
      <w:r>
        <w:rPr>
          <w:rFonts w:hint="eastAsia"/>
          <w:szCs w:val="22"/>
          <w:lang w:val="en-US" w:eastAsia="zh-CN"/>
        </w:rPr>
        <w:t>联动单位在事件处置过程中，应在规定时间内通过规定渠道反馈处置部门、人员、到场时间、现场情况等信息，并根据事态变化，及时报告处置中所掌握的重要信息。</w:t>
      </w:r>
    </w:p>
    <w:p>
      <w:pPr>
        <w:pStyle w:val="21"/>
        <w:ind w:left="0" w:leftChars="0" w:firstLine="0" w:firstLineChars="0"/>
        <w:rPr>
          <w:rFonts w:hint="eastAsia"/>
          <w:szCs w:val="22"/>
          <w:lang w:val="en-US" w:eastAsia="zh-CN"/>
        </w:rPr>
      </w:pPr>
      <w:r>
        <w:rPr>
          <w:rFonts w:hint="eastAsia" w:ascii="黑体" w:hAnsi="黑体" w:eastAsia="黑体" w:cs="黑体"/>
          <w:szCs w:val="22"/>
          <w:lang w:val="en-US" w:eastAsia="zh-CN"/>
        </w:rPr>
        <w:t xml:space="preserve">7.3.2 </w:t>
      </w:r>
      <w:r>
        <w:rPr>
          <w:rFonts w:hint="eastAsia"/>
          <w:szCs w:val="22"/>
          <w:lang w:val="en-US" w:eastAsia="zh-CN"/>
        </w:rPr>
        <w:t>联动处置工作终止后，应当规范反馈事件简要情况、处置经过、经办人信息及后续工作措施。</w:t>
      </w:r>
    </w:p>
    <w:p>
      <w:pPr>
        <w:pStyle w:val="21"/>
        <w:ind w:left="0" w:leftChars="0" w:firstLine="0" w:firstLineChars="0"/>
        <w:rPr>
          <w:rFonts w:hint="eastAsia"/>
          <w:szCs w:val="22"/>
          <w:lang w:val="en-US" w:eastAsia="zh-CN"/>
        </w:rPr>
      </w:pPr>
      <w:r>
        <w:rPr>
          <w:rFonts w:hint="eastAsia" w:ascii="黑体" w:hAnsi="黑体" w:eastAsia="黑体" w:cs="黑体"/>
          <w:szCs w:val="22"/>
          <w:lang w:val="en-US" w:eastAsia="zh-CN"/>
        </w:rPr>
        <w:t>7.3.3</w:t>
      </w:r>
      <w:r>
        <w:rPr>
          <w:rFonts w:hint="eastAsia"/>
          <w:szCs w:val="22"/>
          <w:lang w:val="en-US" w:eastAsia="zh-CN"/>
        </w:rPr>
        <w:t xml:space="preserve"> 遇重大或特殊情况，联动单位应在规定到达时间内向中心电话反馈处置人员及联系方式，到达现场后实时反馈现场情况。</w:t>
      </w:r>
    </w:p>
    <w:p>
      <w:pPr>
        <w:pStyle w:val="25"/>
        <w:rPr>
          <w:rFonts w:hint="eastAsia"/>
        </w:rPr>
      </w:pPr>
      <w:r>
        <w:rPr>
          <w:rFonts w:hint="eastAsia"/>
        </w:rPr>
        <w:t>保障</w:t>
      </w:r>
    </w:p>
    <w:p>
      <w:pPr>
        <w:pStyle w:val="26"/>
        <w:rPr>
          <w:rFonts w:hint="eastAsia"/>
        </w:rPr>
      </w:pPr>
      <w:r>
        <w:rPr>
          <w:rFonts w:hint="eastAsia"/>
        </w:rPr>
        <w:t>处置人员</w:t>
      </w:r>
    </w:p>
    <w:p>
      <w:pPr>
        <w:pStyle w:val="28"/>
      </w:pPr>
      <w:r>
        <w:rPr>
          <w:rFonts w:hint="eastAsia"/>
        </w:rPr>
        <w:t>应配置与事件性质、规模等相适应的处置人员，对事件现场处置不应少于2人。对重大事件处置，应当安排足够力量，并做好相应增援方案与人员配置。</w:t>
      </w:r>
    </w:p>
    <w:p>
      <w:pPr>
        <w:pStyle w:val="28"/>
      </w:pPr>
      <w:r>
        <w:rPr>
          <w:rFonts w:hint="eastAsia"/>
        </w:rPr>
        <w:t>处置时应按规定出示有关证件，并使用规范语言表明身份。如“我是XX单位工作人员，接到</w:t>
      </w:r>
      <w:r>
        <w:rPr>
          <w:rFonts w:hint="eastAsia"/>
          <w:lang w:eastAsia="zh-CN"/>
        </w:rPr>
        <w:t>社会</w:t>
      </w:r>
      <w:r>
        <w:rPr>
          <w:rFonts w:hint="eastAsia"/>
        </w:rPr>
        <w:t>联动</w:t>
      </w:r>
      <w:r>
        <w:rPr>
          <w:rFonts w:hint="eastAsia"/>
          <w:lang w:eastAsia="zh-CN"/>
        </w:rPr>
        <w:t>指挥</w:t>
      </w:r>
      <w:r>
        <w:rPr>
          <w:rFonts w:hint="eastAsia"/>
        </w:rPr>
        <w:t>中心指令来处置该事件”等。</w:t>
      </w:r>
    </w:p>
    <w:p>
      <w:pPr>
        <w:pStyle w:val="28"/>
      </w:pPr>
      <w:r>
        <w:rPr>
          <w:rFonts w:hint="eastAsia"/>
        </w:rPr>
        <w:t>应对处置情况进行记录，并做好</w:t>
      </w:r>
      <w:r>
        <w:rPr>
          <w:rFonts w:hint="eastAsia"/>
          <w:lang w:eastAsia="zh-CN"/>
        </w:rPr>
        <w:t>照片及</w:t>
      </w:r>
      <w:r>
        <w:rPr>
          <w:rFonts w:hint="eastAsia"/>
        </w:rPr>
        <w:t>音、视频资料的备案工作。</w:t>
      </w:r>
    </w:p>
    <w:p>
      <w:pPr>
        <w:pStyle w:val="28"/>
        <w:rPr>
          <w:rFonts w:hint="eastAsia"/>
        </w:rPr>
      </w:pPr>
      <w:r>
        <w:rPr>
          <w:rFonts w:hint="eastAsia"/>
        </w:rPr>
        <w:t>应加强对</w:t>
      </w:r>
      <w:r>
        <w:rPr>
          <w:rFonts w:hint="eastAsia"/>
          <w:lang w:eastAsia="zh-CN"/>
        </w:rPr>
        <w:t>联动</w:t>
      </w:r>
      <w:r>
        <w:rPr>
          <w:rFonts w:hint="eastAsia"/>
        </w:rPr>
        <w:t>处置队伍的</w:t>
      </w:r>
      <w:r>
        <w:rPr>
          <w:rFonts w:hint="eastAsia"/>
          <w:lang w:eastAsia="zh-CN"/>
        </w:rPr>
        <w:t>培训</w:t>
      </w:r>
      <w:r>
        <w:rPr>
          <w:rFonts w:hint="eastAsia"/>
        </w:rPr>
        <w:t>，定期组织开展演练，提高实战处置能力。</w:t>
      </w:r>
    </w:p>
    <w:p>
      <w:pPr>
        <w:pStyle w:val="26"/>
        <w:rPr>
          <w:rFonts w:hint="eastAsia"/>
        </w:rPr>
      </w:pPr>
      <w:r>
        <w:rPr>
          <w:rFonts w:hint="eastAsia"/>
        </w:rPr>
        <w:t>装备</w:t>
      </w:r>
    </w:p>
    <w:p>
      <w:pPr>
        <w:pStyle w:val="28"/>
      </w:pPr>
      <w:r>
        <w:rPr>
          <w:rFonts w:hint="eastAsia"/>
          <w:lang w:eastAsia="zh-CN"/>
        </w:rPr>
        <w:t>规范着装</w:t>
      </w:r>
      <w:r>
        <w:rPr>
          <w:rFonts w:hint="eastAsia"/>
        </w:rPr>
        <w:t>，</w:t>
      </w:r>
      <w:r>
        <w:rPr>
          <w:rFonts w:hint="eastAsia"/>
          <w:lang w:eastAsia="zh-CN"/>
        </w:rPr>
        <w:t>有法定制服的联动单位统一穿着制服，</w:t>
      </w:r>
      <w:r>
        <w:rPr>
          <w:rFonts w:hint="eastAsia"/>
        </w:rPr>
        <w:t>无法定制服的联动单位</w:t>
      </w:r>
      <w:r>
        <w:rPr>
          <w:rFonts w:hint="eastAsia"/>
          <w:lang w:eastAsia="zh-CN"/>
        </w:rPr>
        <w:t>配备标有</w:t>
      </w:r>
      <w:r>
        <w:rPr>
          <w:rFonts w:hint="eastAsia"/>
        </w:rPr>
        <w:t>社会联动工作统一标识</w:t>
      </w:r>
      <w:r>
        <w:rPr>
          <w:rFonts w:hint="eastAsia"/>
          <w:lang w:eastAsia="zh-CN"/>
        </w:rPr>
        <w:t>的服装或工作牌</w:t>
      </w:r>
      <w:r>
        <w:rPr>
          <w:rFonts w:hint="eastAsia"/>
        </w:rPr>
        <w:t>。</w:t>
      </w:r>
    </w:p>
    <w:p>
      <w:pPr>
        <w:pStyle w:val="28"/>
        <w:rPr>
          <w:rFonts w:hint="eastAsia"/>
        </w:rPr>
      </w:pPr>
      <w:r>
        <w:rPr>
          <w:rFonts w:hint="eastAsia"/>
        </w:rPr>
        <w:t>应根据联动职责配备与执行任务所适应的交通工具、应急救援设备及现场调查、取证所必须的录音和视频录制等器材。</w:t>
      </w:r>
    </w:p>
    <w:p>
      <w:pPr>
        <w:pStyle w:val="28"/>
        <w:rPr>
          <w:rFonts w:hint="eastAsia"/>
        </w:rPr>
      </w:pPr>
      <w:r>
        <w:rPr>
          <w:rFonts w:hint="eastAsia"/>
        </w:rPr>
        <w:t>应按照联动工作要求做好规定时间内的值班、值守，保障联动平台、值班电话、手机、对讲机等设备的通讯畅通。</w:t>
      </w:r>
    </w:p>
    <w:p>
      <w:pPr>
        <w:pStyle w:val="26"/>
        <w:rPr>
          <w:rFonts w:hint="eastAsia"/>
        </w:rPr>
      </w:pPr>
      <w:r>
        <w:rPr>
          <w:rFonts w:hint="eastAsia"/>
        </w:rPr>
        <w:t>资金</w:t>
      </w:r>
    </w:p>
    <w:p>
      <w:pPr>
        <w:pStyle w:val="21"/>
        <w:rPr>
          <w:rFonts w:hint="eastAsia"/>
        </w:rPr>
      </w:pPr>
      <w:r>
        <w:rPr>
          <w:rFonts w:hint="eastAsia"/>
          <w:lang w:eastAsia="zh-CN"/>
        </w:rPr>
        <w:t>各级政府应将社会联动工作的必要经费纳入本级财政预算，包括平台建设维护、应急装备、物资配备和处置车辆的保障以及相关人员经费保障</w:t>
      </w:r>
      <w:r>
        <w:rPr>
          <w:rFonts w:hint="eastAsia"/>
        </w:rPr>
        <w:t>。</w:t>
      </w:r>
    </w:p>
    <w:p>
      <w:pPr>
        <w:pStyle w:val="26"/>
        <w:rPr>
          <w:rFonts w:hint="eastAsia"/>
        </w:rPr>
      </w:pPr>
      <w:r>
        <w:rPr>
          <w:rFonts w:hint="eastAsia"/>
        </w:rPr>
        <w:t>制度</w:t>
      </w:r>
    </w:p>
    <w:p>
      <w:pPr>
        <w:pStyle w:val="28"/>
        <w:rPr>
          <w:rFonts w:hint="eastAsia"/>
        </w:rPr>
      </w:pPr>
      <w:r>
        <w:rPr>
          <w:rFonts w:hint="eastAsia"/>
        </w:rPr>
        <w:t>应制定日常管理、例会、培训和考核等管理制度。</w:t>
      </w:r>
    </w:p>
    <w:p>
      <w:pPr>
        <w:pStyle w:val="28"/>
        <w:rPr>
          <w:rFonts w:hint="eastAsia"/>
        </w:rPr>
      </w:pPr>
      <w:r>
        <w:rPr>
          <w:rFonts w:hint="eastAsia"/>
        </w:rPr>
        <w:t>日常管理制度包括以下基本内容：</w:t>
      </w:r>
    </w:p>
    <w:p>
      <w:pPr>
        <w:pStyle w:val="27"/>
        <w:rPr>
          <w:rFonts w:hint="eastAsia"/>
        </w:rPr>
      </w:pPr>
      <w:r>
        <w:rPr>
          <w:rFonts w:hint="eastAsia"/>
        </w:rPr>
        <w:t>值班制度；</w:t>
      </w:r>
    </w:p>
    <w:p>
      <w:pPr>
        <w:pStyle w:val="27"/>
        <w:rPr>
          <w:rFonts w:hint="eastAsia"/>
        </w:rPr>
      </w:pPr>
      <w:r>
        <w:rPr>
          <w:rFonts w:hint="eastAsia"/>
        </w:rPr>
        <w:t>环境检查制度；</w:t>
      </w:r>
    </w:p>
    <w:p>
      <w:pPr>
        <w:pStyle w:val="27"/>
        <w:rPr>
          <w:rFonts w:hint="eastAsia"/>
        </w:rPr>
      </w:pPr>
      <w:r>
        <w:rPr>
          <w:rFonts w:hint="eastAsia"/>
        </w:rPr>
        <w:t>内务卫生制度。</w:t>
      </w:r>
    </w:p>
    <w:p>
      <w:pPr>
        <w:pStyle w:val="28"/>
        <w:rPr>
          <w:rFonts w:hint="eastAsia"/>
        </w:rPr>
      </w:pPr>
      <w:r>
        <w:rPr>
          <w:rFonts w:hint="eastAsia"/>
        </w:rPr>
        <w:t>例会制度包括以下内容：</w:t>
      </w:r>
    </w:p>
    <w:p>
      <w:pPr>
        <w:pStyle w:val="27"/>
        <w:rPr>
          <w:rFonts w:hint="eastAsia"/>
        </w:rPr>
      </w:pPr>
      <w:r>
        <w:rPr>
          <w:rFonts w:hint="eastAsia"/>
        </w:rPr>
        <w:t>社会联动指挥中心例会；</w:t>
      </w:r>
    </w:p>
    <w:p>
      <w:pPr>
        <w:pStyle w:val="27"/>
        <w:rPr>
          <w:rFonts w:hint="eastAsia"/>
        </w:rPr>
      </w:pPr>
      <w:r>
        <w:rPr>
          <w:rFonts w:hint="eastAsia"/>
        </w:rPr>
        <w:t>联动单位例会。</w:t>
      </w:r>
    </w:p>
    <w:p>
      <w:pPr>
        <w:pStyle w:val="28"/>
        <w:rPr>
          <w:rFonts w:hint="eastAsia"/>
        </w:rPr>
      </w:pPr>
      <w:r>
        <w:rPr>
          <w:rFonts w:hint="eastAsia"/>
        </w:rPr>
        <w:t>培训制度包括以下基本内容：</w:t>
      </w:r>
    </w:p>
    <w:p>
      <w:pPr>
        <w:pStyle w:val="27"/>
        <w:rPr>
          <w:rFonts w:hint="eastAsia"/>
        </w:rPr>
      </w:pPr>
      <w:r>
        <w:rPr>
          <w:rFonts w:hint="eastAsia"/>
        </w:rPr>
        <w:t>岗前培训；</w:t>
      </w:r>
    </w:p>
    <w:p>
      <w:pPr>
        <w:pStyle w:val="27"/>
        <w:rPr>
          <w:rFonts w:hint="eastAsia"/>
        </w:rPr>
      </w:pPr>
      <w:r>
        <w:rPr>
          <w:rFonts w:hint="eastAsia"/>
        </w:rPr>
        <w:t>在岗培训。</w:t>
      </w:r>
    </w:p>
    <w:p>
      <w:pPr>
        <w:pStyle w:val="28"/>
        <w:rPr>
          <w:rFonts w:hint="eastAsia"/>
        </w:rPr>
      </w:pPr>
      <w:r>
        <w:rPr>
          <w:rFonts w:hint="eastAsia"/>
        </w:rPr>
        <w:t>考核制度包括以下基本内容：</w:t>
      </w:r>
    </w:p>
    <w:p>
      <w:pPr>
        <w:pStyle w:val="27"/>
        <w:rPr>
          <w:rFonts w:hint="eastAsia"/>
        </w:rPr>
      </w:pPr>
      <w:r>
        <w:rPr>
          <w:rFonts w:hint="eastAsia"/>
        </w:rPr>
        <w:t>联动单位考核；</w:t>
      </w:r>
    </w:p>
    <w:p>
      <w:pPr>
        <w:pStyle w:val="27"/>
        <w:rPr>
          <w:rFonts w:hint="eastAsia"/>
        </w:rPr>
      </w:pPr>
      <w:r>
        <w:rPr>
          <w:rFonts w:hint="eastAsia"/>
        </w:rPr>
        <w:t>联动分中心考核。</w:t>
      </w:r>
    </w:p>
    <w:p>
      <w:pPr>
        <w:pStyle w:val="25"/>
        <w:rPr>
          <w:rFonts w:hint="eastAsia"/>
        </w:rPr>
      </w:pPr>
      <w:r>
        <w:rPr>
          <w:rFonts w:hint="eastAsia"/>
        </w:rPr>
        <w:t>考核与运用</w:t>
      </w:r>
    </w:p>
    <w:p>
      <w:pPr>
        <w:pStyle w:val="26"/>
        <w:rPr>
          <w:rFonts w:hint="eastAsia"/>
        </w:rPr>
      </w:pPr>
      <w:r>
        <w:rPr>
          <w:rFonts w:hint="eastAsia"/>
        </w:rPr>
        <w:t>考核对象</w:t>
      </w:r>
    </w:p>
    <w:p>
      <w:pPr>
        <w:pStyle w:val="21"/>
        <w:rPr>
          <w:rFonts w:hint="eastAsia"/>
        </w:rPr>
      </w:pPr>
      <w:r>
        <w:rPr>
          <w:rFonts w:hint="eastAsia"/>
        </w:rPr>
        <w:t>全市40家联动成员单位、15家区、县（市）</w:t>
      </w:r>
      <w:r>
        <w:rPr>
          <w:rFonts w:hint="eastAsia"/>
          <w:lang w:eastAsia="zh-CN"/>
        </w:rPr>
        <w:t>社会</w:t>
      </w:r>
      <w:r>
        <w:rPr>
          <w:rFonts w:hint="eastAsia"/>
        </w:rPr>
        <w:t>联动指挥中心实行分组考核，考核名单见附录A。</w:t>
      </w:r>
    </w:p>
    <w:p>
      <w:pPr>
        <w:pStyle w:val="26"/>
        <w:rPr>
          <w:rFonts w:hint="eastAsia"/>
        </w:rPr>
      </w:pPr>
      <w:r>
        <w:rPr>
          <w:rFonts w:hint="eastAsia"/>
        </w:rPr>
        <w:t>考核方法</w:t>
      </w:r>
    </w:p>
    <w:p>
      <w:pPr>
        <w:pStyle w:val="21"/>
        <w:rPr>
          <w:rFonts w:hint="eastAsia"/>
        </w:rPr>
      </w:pPr>
      <w:r>
        <w:rPr>
          <w:rFonts w:hint="eastAsia"/>
        </w:rPr>
        <w:t>以自然月为周期进行统计，按百分制计算。80分为达标，90分以上为优秀。全年每月平均得分为年度考核得分。考核公式见附录D。</w:t>
      </w:r>
    </w:p>
    <w:p>
      <w:pPr>
        <w:pStyle w:val="26"/>
        <w:rPr>
          <w:rFonts w:hint="eastAsia"/>
        </w:rPr>
      </w:pPr>
      <w:r>
        <w:rPr>
          <w:rFonts w:hint="eastAsia"/>
        </w:rPr>
        <w:t>考核结果</w:t>
      </w:r>
    </w:p>
    <w:p>
      <w:pPr>
        <w:pStyle w:val="21"/>
      </w:pPr>
      <w:r>
        <w:t>考核情况每月通报，同时报杭州市“110”社会联动工作领导小组组长、市委政法委、市考评办。</w:t>
      </w:r>
    </w:p>
    <w:p>
      <w:pPr>
        <w:pStyle w:val="26"/>
        <w:rPr>
          <w:rFonts w:hint="eastAsia"/>
        </w:rPr>
      </w:pPr>
      <w:r>
        <w:rPr>
          <w:rFonts w:hint="eastAsia"/>
        </w:rPr>
        <w:t>考核运用</w:t>
      </w:r>
    </w:p>
    <w:p>
      <w:pPr>
        <w:pStyle w:val="28"/>
      </w:pPr>
      <w:r>
        <w:t>考核结果运用于杭州市平安考核，考核情况纳入平安日常通报。</w:t>
      </w:r>
    </w:p>
    <w:p>
      <w:pPr>
        <w:pStyle w:val="28"/>
      </w:pPr>
      <w:r>
        <w:t>考核结果运用于“12345”市长公开电话（统一政务咨询投诉举报平台）网络单位“效能指数”测评。第</w:t>
      </w:r>
      <w:r>
        <w:rPr>
          <w:rFonts w:hint="eastAsia"/>
        </w:rPr>
        <w:t>1</w:t>
      </w:r>
      <w:r>
        <w:t>、</w:t>
      </w:r>
      <w:r>
        <w:rPr>
          <w:rFonts w:hint="eastAsia"/>
        </w:rPr>
        <w:t>3</w:t>
      </w:r>
      <w:r>
        <w:t>组每组不达标且排名末位的“黄牌警告”，第</w:t>
      </w:r>
      <w:r>
        <w:rPr>
          <w:rFonts w:hint="eastAsia"/>
        </w:rPr>
        <w:t>2</w:t>
      </w:r>
      <w:r>
        <w:t>组不达标且排名末两位的“黄牌警告”。</w:t>
      </w:r>
    </w:p>
    <w:p>
      <w:pPr>
        <w:pStyle w:val="28"/>
        <w:rPr>
          <w:rFonts w:hint="eastAsia"/>
        </w:rPr>
      </w:pPr>
      <w:r>
        <w:t>月均承办量低于10件的联动单位，只作通报，不纳入考核和“黄牌警告”。</w:t>
      </w:r>
    </w:p>
    <w:p>
      <w:pPr>
        <w:pStyle w:val="26"/>
      </w:pPr>
      <w:r>
        <w:rPr>
          <w:rFonts w:hint="eastAsia"/>
        </w:rPr>
        <w:t>评先评优</w:t>
      </w:r>
    </w:p>
    <w:p>
      <w:pPr>
        <w:pStyle w:val="21"/>
      </w:pPr>
      <w:r>
        <w:t>年度考核得分达到优秀的，按分组及排名评选先进单位。先进单位分配名额：第一组两名，第二组五名，第三组一名。</w:t>
      </w:r>
    </w:p>
    <w:p>
      <w:pPr>
        <w:pStyle w:val="26"/>
        <w:ind w:left="0" w:leftChars="0" w:firstLine="0" w:firstLineChars="0"/>
        <w:rPr>
          <w:rFonts w:hint="eastAsia"/>
          <w:lang w:val="en-US" w:eastAsia="zh-CN"/>
        </w:rPr>
      </w:pPr>
      <w:r>
        <w:rPr>
          <w:rFonts w:hint="eastAsia"/>
          <w:lang w:val="en-US" w:eastAsia="zh-CN"/>
        </w:rPr>
        <w:t xml:space="preserve"> 其他</w:t>
      </w:r>
    </w:p>
    <w:p>
      <w:pPr>
        <w:pStyle w:val="26"/>
        <w:numPr>
          <w:ilvl w:val="1"/>
          <w:numId w:val="0"/>
        </w:numPr>
        <w:ind w:leftChars="0" w:firstLine="420" w:firstLineChars="200"/>
        <w:rPr>
          <w:rFonts w:hint="eastAsia"/>
        </w:rPr>
      </w:pPr>
      <w:r>
        <w:rPr>
          <w:rFonts w:hint="eastAsia" w:ascii="宋体" w:eastAsia="宋体" w:cs="Times New Roman"/>
          <w:sz w:val="21"/>
          <w:szCs w:val="22"/>
          <w:lang w:val="en-US" w:eastAsia="zh-CN" w:bidi="ar-SA"/>
        </w:rPr>
        <w:t>若遇</w:t>
      </w:r>
      <w:r>
        <w:rPr>
          <w:rFonts w:hint="eastAsia" w:ascii="宋体" w:hAnsi="Times New Roman" w:eastAsia="宋体" w:cs="Times New Roman"/>
          <w:sz w:val="21"/>
          <w:szCs w:val="22"/>
          <w:lang w:val="en-US" w:eastAsia="zh-CN" w:bidi="ar-SA"/>
        </w:rPr>
        <w:t>省、市联动工作考核要求变更，本</w:t>
      </w:r>
      <w:r>
        <w:rPr>
          <w:rFonts w:hint="eastAsia" w:ascii="宋体" w:eastAsia="宋体" w:cs="Times New Roman"/>
          <w:sz w:val="21"/>
          <w:szCs w:val="22"/>
          <w:lang w:val="en-US" w:eastAsia="zh-CN" w:bidi="ar-SA"/>
        </w:rPr>
        <w:t>条款</w:t>
      </w:r>
      <w:r>
        <w:rPr>
          <w:rFonts w:hint="eastAsia" w:ascii="宋体" w:hAnsi="Times New Roman" w:eastAsia="宋体" w:cs="Times New Roman"/>
          <w:sz w:val="21"/>
          <w:szCs w:val="22"/>
          <w:lang w:val="en-US" w:eastAsia="zh-CN" w:bidi="ar-SA"/>
        </w:rPr>
        <w:t>将作相应调整。</w:t>
      </w:r>
    </w:p>
    <w:p>
      <w:pPr>
        <w:pStyle w:val="21"/>
        <w:ind w:left="0" w:leftChars="0" w:firstLine="0" w:firstLineChars="0"/>
        <w:rPr>
          <w:rFonts w:hint="eastAsia" w:eastAsia="宋体"/>
          <w:lang w:val="en-US" w:eastAsia="zh-CN"/>
        </w:rPr>
      </w:pPr>
    </w:p>
    <w:p>
      <w:pPr>
        <w:pStyle w:val="30"/>
      </w:pPr>
    </w:p>
    <w:p>
      <w:pPr>
        <w:pStyle w:val="31"/>
      </w:pPr>
    </w:p>
    <w:p>
      <w:pPr>
        <w:pStyle w:val="32"/>
        <w:rPr>
          <w:rFonts w:hint="eastAsia"/>
        </w:rPr>
      </w:pPr>
      <w:r>
        <w:br w:type="textWrapping"/>
      </w:r>
      <w:r>
        <w:rPr>
          <w:rFonts w:hint="eastAsia"/>
        </w:rPr>
        <w:t>（资料性附录）</w:t>
      </w:r>
      <w:r>
        <w:br w:type="textWrapping"/>
      </w:r>
      <w:r>
        <w:rPr>
          <w:rFonts w:hint="eastAsia"/>
        </w:rPr>
        <w:t>联动单位</w:t>
      </w:r>
      <w:r>
        <w:rPr>
          <w:rFonts w:hint="eastAsia"/>
          <w:szCs w:val="22"/>
        </w:rPr>
        <w:t>名单</w:t>
      </w:r>
    </w:p>
    <w:p>
      <w:pPr>
        <w:pStyle w:val="25"/>
        <w:numPr>
          <w:ilvl w:val="0"/>
          <w:numId w:val="0"/>
        </w:numPr>
        <w:rPr>
          <w:rFonts w:hint="eastAsia"/>
        </w:rPr>
      </w:pPr>
      <w:r>
        <w:rPr>
          <w:rFonts w:hint="eastAsia"/>
        </w:rPr>
        <w:t>A.1 一级联动单位</w:t>
      </w:r>
    </w:p>
    <w:p>
      <w:pPr>
        <w:pStyle w:val="21"/>
        <w:rPr>
          <w:rFonts w:hint="eastAsia"/>
        </w:rPr>
      </w:pPr>
      <w:r>
        <w:rPr>
          <w:rFonts w:hint="eastAsia"/>
        </w:rPr>
        <w:t>一级联动单位宜包括以下单位：</w:t>
      </w:r>
    </w:p>
    <w:p>
      <w:pPr>
        <w:pStyle w:val="27"/>
        <w:rPr>
          <w:rFonts w:hint="eastAsia"/>
          <w:szCs w:val="22"/>
        </w:rPr>
      </w:pPr>
      <w:r>
        <w:rPr>
          <w:rFonts w:hint="eastAsia"/>
          <w:szCs w:val="22"/>
        </w:rPr>
        <w:t>市公安局；</w:t>
      </w:r>
    </w:p>
    <w:p>
      <w:pPr>
        <w:pStyle w:val="27"/>
        <w:rPr>
          <w:rFonts w:hint="eastAsia"/>
          <w:szCs w:val="22"/>
        </w:rPr>
      </w:pPr>
      <w:r>
        <w:rPr>
          <w:rFonts w:hint="eastAsia"/>
          <w:szCs w:val="22"/>
        </w:rPr>
        <w:t>国网杭州供电公司；</w:t>
      </w:r>
    </w:p>
    <w:p>
      <w:pPr>
        <w:pStyle w:val="27"/>
        <w:rPr>
          <w:rFonts w:hint="eastAsia"/>
          <w:szCs w:val="22"/>
        </w:rPr>
      </w:pPr>
      <w:r>
        <w:rPr>
          <w:rFonts w:hint="eastAsia"/>
          <w:szCs w:val="22"/>
        </w:rPr>
        <w:t>市城投集团；</w:t>
      </w:r>
    </w:p>
    <w:p>
      <w:pPr>
        <w:pStyle w:val="27"/>
        <w:rPr>
          <w:rFonts w:hint="eastAsia"/>
          <w:szCs w:val="22"/>
        </w:rPr>
      </w:pPr>
      <w:r>
        <w:rPr>
          <w:rFonts w:hint="eastAsia"/>
          <w:szCs w:val="22"/>
        </w:rPr>
        <w:t>市卫生健康委；</w:t>
      </w:r>
    </w:p>
    <w:p>
      <w:pPr>
        <w:pStyle w:val="27"/>
        <w:rPr>
          <w:rFonts w:hint="eastAsia"/>
          <w:szCs w:val="22"/>
        </w:rPr>
      </w:pPr>
      <w:r>
        <w:rPr>
          <w:rFonts w:hint="eastAsia"/>
          <w:szCs w:val="22"/>
        </w:rPr>
        <w:t>市应急管理局；</w:t>
      </w:r>
    </w:p>
    <w:p>
      <w:pPr>
        <w:pStyle w:val="27"/>
        <w:rPr>
          <w:rFonts w:hint="eastAsia"/>
          <w:szCs w:val="22"/>
        </w:rPr>
      </w:pPr>
      <w:r>
        <w:rPr>
          <w:rFonts w:hint="eastAsia"/>
          <w:szCs w:val="22"/>
        </w:rPr>
        <w:t>区、县（市）联动一级分中心。</w:t>
      </w:r>
    </w:p>
    <w:p>
      <w:pPr>
        <w:pStyle w:val="29"/>
        <w:numPr>
          <w:ilvl w:val="0"/>
          <w:numId w:val="0"/>
        </w:numPr>
        <w:spacing w:before="156" w:after="156"/>
        <w:rPr>
          <w:rFonts w:hint="eastAsia"/>
          <w:color w:val="auto"/>
          <w:highlight w:val="none"/>
        </w:rPr>
      </w:pPr>
      <w:r>
        <w:rPr>
          <w:rFonts w:hint="eastAsia"/>
          <w:color w:val="auto"/>
          <w:highlight w:val="none"/>
        </w:rPr>
        <w:t>A.2 二级联动单位</w:t>
      </w:r>
    </w:p>
    <w:p>
      <w:pPr>
        <w:pStyle w:val="21"/>
        <w:rPr>
          <w:rFonts w:hint="eastAsia"/>
        </w:rPr>
      </w:pPr>
      <w:r>
        <w:rPr>
          <w:rFonts w:hint="eastAsia"/>
        </w:rPr>
        <w:t>二级联动单位宜包括以下单位：</w:t>
      </w:r>
    </w:p>
    <w:p>
      <w:pPr>
        <w:pStyle w:val="27"/>
        <w:rPr>
          <w:rFonts w:hint="eastAsia"/>
          <w:szCs w:val="22"/>
        </w:rPr>
      </w:pPr>
      <w:r>
        <w:rPr>
          <w:rFonts w:hint="eastAsia"/>
          <w:szCs w:val="22"/>
        </w:rPr>
        <w:t>市人力社保局；</w:t>
      </w:r>
    </w:p>
    <w:p>
      <w:pPr>
        <w:pStyle w:val="27"/>
        <w:rPr>
          <w:rFonts w:hint="eastAsia"/>
          <w:szCs w:val="22"/>
        </w:rPr>
      </w:pPr>
      <w:r>
        <w:rPr>
          <w:rFonts w:hint="eastAsia"/>
          <w:szCs w:val="22"/>
        </w:rPr>
        <w:t>市交通运输局；</w:t>
      </w:r>
    </w:p>
    <w:p>
      <w:pPr>
        <w:pStyle w:val="27"/>
        <w:rPr>
          <w:rFonts w:hint="eastAsia"/>
          <w:szCs w:val="22"/>
        </w:rPr>
      </w:pPr>
      <w:r>
        <w:rPr>
          <w:rFonts w:hint="eastAsia"/>
          <w:szCs w:val="22"/>
        </w:rPr>
        <w:t>市生态环境局；</w:t>
      </w:r>
    </w:p>
    <w:p>
      <w:pPr>
        <w:pStyle w:val="27"/>
        <w:rPr>
          <w:rFonts w:hint="eastAsia"/>
          <w:szCs w:val="22"/>
        </w:rPr>
      </w:pPr>
      <w:r>
        <w:rPr>
          <w:rFonts w:hint="eastAsia"/>
          <w:szCs w:val="22"/>
        </w:rPr>
        <w:t>市人防办（民防局）；</w:t>
      </w:r>
    </w:p>
    <w:p>
      <w:pPr>
        <w:pStyle w:val="27"/>
        <w:rPr>
          <w:rFonts w:hint="eastAsia"/>
          <w:szCs w:val="22"/>
        </w:rPr>
      </w:pPr>
      <w:r>
        <w:rPr>
          <w:rFonts w:hint="eastAsia"/>
          <w:szCs w:val="22"/>
        </w:rPr>
        <w:t>市城管局；</w:t>
      </w:r>
    </w:p>
    <w:p>
      <w:pPr>
        <w:pStyle w:val="27"/>
        <w:rPr>
          <w:rFonts w:hint="eastAsia"/>
          <w:szCs w:val="22"/>
        </w:rPr>
      </w:pPr>
      <w:r>
        <w:rPr>
          <w:rFonts w:hint="eastAsia"/>
          <w:szCs w:val="22"/>
        </w:rPr>
        <w:t>市民政局；</w:t>
      </w:r>
    </w:p>
    <w:p>
      <w:pPr>
        <w:pStyle w:val="27"/>
        <w:rPr>
          <w:rFonts w:hint="eastAsia"/>
          <w:szCs w:val="22"/>
        </w:rPr>
      </w:pPr>
      <w:r>
        <w:rPr>
          <w:rFonts w:hint="eastAsia"/>
          <w:szCs w:val="22"/>
        </w:rPr>
        <w:t>市地铁集团；</w:t>
      </w:r>
    </w:p>
    <w:p>
      <w:pPr>
        <w:pStyle w:val="27"/>
        <w:rPr>
          <w:rFonts w:hint="eastAsia"/>
          <w:szCs w:val="22"/>
        </w:rPr>
      </w:pPr>
      <w:r>
        <w:rPr>
          <w:rFonts w:hint="eastAsia"/>
          <w:szCs w:val="22"/>
        </w:rPr>
        <w:t>浙江华数广电网络股份有限公司；</w:t>
      </w:r>
    </w:p>
    <w:p>
      <w:pPr>
        <w:pStyle w:val="27"/>
        <w:rPr>
          <w:rFonts w:hint="eastAsia"/>
          <w:szCs w:val="22"/>
        </w:rPr>
      </w:pPr>
      <w:r>
        <w:rPr>
          <w:rFonts w:hint="eastAsia"/>
          <w:szCs w:val="22"/>
        </w:rPr>
        <w:t>市市场监管局；</w:t>
      </w:r>
    </w:p>
    <w:p>
      <w:pPr>
        <w:pStyle w:val="27"/>
        <w:rPr>
          <w:rFonts w:hint="eastAsia"/>
          <w:szCs w:val="22"/>
        </w:rPr>
      </w:pPr>
      <w:r>
        <w:rPr>
          <w:rFonts w:hint="eastAsia"/>
          <w:szCs w:val="22"/>
        </w:rPr>
        <w:t>市建委；</w:t>
      </w:r>
    </w:p>
    <w:p>
      <w:pPr>
        <w:pStyle w:val="27"/>
        <w:rPr>
          <w:rFonts w:hint="eastAsia"/>
          <w:szCs w:val="22"/>
        </w:rPr>
      </w:pPr>
      <w:r>
        <w:rPr>
          <w:rFonts w:hint="eastAsia"/>
          <w:szCs w:val="22"/>
        </w:rPr>
        <w:t>市教育局；</w:t>
      </w:r>
    </w:p>
    <w:p>
      <w:pPr>
        <w:pStyle w:val="27"/>
        <w:rPr>
          <w:rFonts w:hint="eastAsia"/>
          <w:szCs w:val="22"/>
        </w:rPr>
      </w:pPr>
      <w:r>
        <w:rPr>
          <w:rFonts w:hint="eastAsia"/>
          <w:szCs w:val="22"/>
        </w:rPr>
        <w:t>市文化广电旅游局；</w:t>
      </w:r>
    </w:p>
    <w:p>
      <w:pPr>
        <w:pStyle w:val="27"/>
        <w:rPr>
          <w:rFonts w:hint="eastAsia"/>
          <w:szCs w:val="22"/>
        </w:rPr>
      </w:pPr>
      <w:r>
        <w:rPr>
          <w:rFonts w:hint="eastAsia"/>
          <w:szCs w:val="22"/>
        </w:rPr>
        <w:t>市林水局；</w:t>
      </w:r>
    </w:p>
    <w:p>
      <w:pPr>
        <w:pStyle w:val="27"/>
        <w:rPr>
          <w:rFonts w:hint="eastAsia"/>
          <w:szCs w:val="22"/>
        </w:rPr>
      </w:pPr>
      <w:r>
        <w:rPr>
          <w:rFonts w:hint="eastAsia"/>
          <w:szCs w:val="22"/>
        </w:rPr>
        <w:t>市商务局；</w:t>
      </w:r>
    </w:p>
    <w:p>
      <w:pPr>
        <w:pStyle w:val="27"/>
        <w:rPr>
          <w:rFonts w:hint="eastAsia"/>
          <w:szCs w:val="22"/>
        </w:rPr>
      </w:pPr>
      <w:r>
        <w:rPr>
          <w:rFonts w:hint="eastAsia"/>
          <w:szCs w:val="22"/>
        </w:rPr>
        <w:t>市烟草局；</w:t>
      </w:r>
    </w:p>
    <w:p>
      <w:pPr>
        <w:pStyle w:val="27"/>
        <w:rPr>
          <w:rFonts w:hint="eastAsia"/>
          <w:szCs w:val="22"/>
        </w:rPr>
      </w:pPr>
      <w:r>
        <w:rPr>
          <w:rFonts w:hint="eastAsia"/>
          <w:szCs w:val="22"/>
        </w:rPr>
        <w:t>市园文局；</w:t>
      </w:r>
    </w:p>
    <w:p>
      <w:pPr>
        <w:pStyle w:val="27"/>
        <w:rPr>
          <w:rFonts w:hint="eastAsia"/>
          <w:szCs w:val="22"/>
        </w:rPr>
      </w:pPr>
      <w:r>
        <w:rPr>
          <w:rFonts w:hint="eastAsia"/>
          <w:szCs w:val="22"/>
        </w:rPr>
        <w:t>市住保房管局；</w:t>
      </w:r>
    </w:p>
    <w:p>
      <w:pPr>
        <w:pStyle w:val="27"/>
        <w:rPr>
          <w:rFonts w:hint="eastAsia"/>
          <w:szCs w:val="22"/>
        </w:rPr>
      </w:pPr>
      <w:r>
        <w:rPr>
          <w:rFonts w:hint="eastAsia"/>
          <w:szCs w:val="22"/>
        </w:rPr>
        <w:t>市司法局；</w:t>
      </w:r>
    </w:p>
    <w:p>
      <w:pPr>
        <w:pStyle w:val="27"/>
        <w:rPr>
          <w:rFonts w:hint="eastAsia"/>
          <w:szCs w:val="22"/>
        </w:rPr>
      </w:pPr>
      <w:r>
        <w:rPr>
          <w:rFonts w:hint="eastAsia"/>
          <w:szCs w:val="22"/>
        </w:rPr>
        <w:t>市妇联；</w:t>
      </w:r>
    </w:p>
    <w:p>
      <w:pPr>
        <w:pStyle w:val="27"/>
        <w:rPr>
          <w:rFonts w:hint="eastAsia"/>
          <w:szCs w:val="22"/>
        </w:rPr>
      </w:pPr>
      <w:r>
        <w:rPr>
          <w:rFonts w:hint="eastAsia"/>
          <w:szCs w:val="22"/>
        </w:rPr>
        <w:t>市气象局；</w:t>
      </w:r>
    </w:p>
    <w:p>
      <w:pPr>
        <w:pStyle w:val="27"/>
        <w:rPr>
          <w:rFonts w:hint="eastAsia"/>
          <w:szCs w:val="22"/>
        </w:rPr>
      </w:pPr>
      <w:r>
        <w:rPr>
          <w:rFonts w:hint="eastAsia"/>
          <w:szCs w:val="22"/>
        </w:rPr>
        <w:t>市税务局；</w:t>
      </w:r>
    </w:p>
    <w:p>
      <w:pPr>
        <w:pStyle w:val="27"/>
        <w:rPr>
          <w:rFonts w:hint="eastAsia"/>
          <w:szCs w:val="22"/>
        </w:rPr>
      </w:pPr>
      <w:r>
        <w:rPr>
          <w:rFonts w:hint="eastAsia"/>
          <w:szCs w:val="22"/>
        </w:rPr>
        <w:t>市金融办；</w:t>
      </w:r>
    </w:p>
    <w:p>
      <w:pPr>
        <w:pStyle w:val="27"/>
        <w:rPr>
          <w:rFonts w:hint="eastAsia"/>
          <w:szCs w:val="22"/>
        </w:rPr>
      </w:pPr>
      <w:r>
        <w:rPr>
          <w:rFonts w:hint="eastAsia"/>
          <w:szCs w:val="22"/>
        </w:rPr>
        <w:t>市退役军人事务局；</w:t>
      </w:r>
    </w:p>
    <w:p>
      <w:pPr>
        <w:pStyle w:val="27"/>
        <w:rPr>
          <w:rFonts w:hint="eastAsia"/>
          <w:szCs w:val="22"/>
        </w:rPr>
      </w:pPr>
      <w:r>
        <w:rPr>
          <w:rFonts w:hint="eastAsia"/>
          <w:szCs w:val="22"/>
        </w:rPr>
        <w:t>市邮政管理局；</w:t>
      </w:r>
    </w:p>
    <w:p>
      <w:pPr>
        <w:pStyle w:val="27"/>
        <w:rPr>
          <w:rFonts w:hint="eastAsia"/>
          <w:szCs w:val="22"/>
        </w:rPr>
      </w:pPr>
      <w:r>
        <w:rPr>
          <w:rFonts w:hint="eastAsia"/>
          <w:szCs w:val="22"/>
        </w:rPr>
        <w:t>杭州萧山国际机场公司。</w:t>
      </w:r>
    </w:p>
    <w:p>
      <w:pPr>
        <w:pStyle w:val="29"/>
        <w:numPr>
          <w:ilvl w:val="0"/>
          <w:numId w:val="0"/>
        </w:numPr>
        <w:spacing w:before="156" w:after="156"/>
        <w:rPr>
          <w:rFonts w:hint="eastAsia"/>
        </w:rPr>
      </w:pPr>
      <w:r>
        <w:rPr>
          <w:rFonts w:hint="eastAsia"/>
        </w:rPr>
        <w:t>A.3 三级联动单位</w:t>
      </w:r>
    </w:p>
    <w:p>
      <w:pPr>
        <w:pStyle w:val="21"/>
        <w:rPr>
          <w:rFonts w:hint="eastAsia"/>
        </w:rPr>
      </w:pPr>
      <w:r>
        <w:rPr>
          <w:rFonts w:hint="eastAsia"/>
        </w:rPr>
        <w:t>三级联动单位宜包括以下单位：</w:t>
      </w:r>
    </w:p>
    <w:p>
      <w:pPr>
        <w:pStyle w:val="27"/>
        <w:rPr>
          <w:rFonts w:hint="eastAsia"/>
          <w:szCs w:val="22"/>
        </w:rPr>
      </w:pPr>
      <w:r>
        <w:rPr>
          <w:rFonts w:hint="eastAsia"/>
          <w:szCs w:val="22"/>
        </w:rPr>
        <w:t>市农业农村局；</w:t>
      </w:r>
    </w:p>
    <w:p>
      <w:pPr>
        <w:pStyle w:val="27"/>
        <w:rPr>
          <w:rFonts w:hint="eastAsia"/>
          <w:szCs w:val="22"/>
        </w:rPr>
      </w:pPr>
      <w:r>
        <w:rPr>
          <w:rFonts w:hint="eastAsia"/>
          <w:szCs w:val="22"/>
        </w:rPr>
        <w:t>市民族宗教局；</w:t>
      </w:r>
    </w:p>
    <w:p>
      <w:pPr>
        <w:pStyle w:val="27"/>
        <w:rPr>
          <w:rFonts w:hint="eastAsia"/>
          <w:szCs w:val="22"/>
        </w:rPr>
      </w:pPr>
      <w:r>
        <w:rPr>
          <w:rFonts w:hint="eastAsia"/>
          <w:szCs w:val="22"/>
        </w:rPr>
        <w:t>市外办；</w:t>
      </w:r>
    </w:p>
    <w:p>
      <w:pPr>
        <w:pStyle w:val="27"/>
        <w:rPr>
          <w:rFonts w:hint="eastAsia"/>
          <w:szCs w:val="22"/>
        </w:rPr>
      </w:pPr>
      <w:r>
        <w:rPr>
          <w:rFonts w:hint="eastAsia"/>
          <w:szCs w:val="22"/>
        </w:rPr>
        <w:t>杭州邮政公司；</w:t>
      </w:r>
    </w:p>
    <w:p>
      <w:pPr>
        <w:pStyle w:val="27"/>
        <w:rPr>
          <w:rFonts w:hint="eastAsia"/>
          <w:szCs w:val="22"/>
        </w:rPr>
      </w:pPr>
      <w:r>
        <w:rPr>
          <w:rFonts w:hint="eastAsia"/>
          <w:szCs w:val="22"/>
        </w:rPr>
        <w:t>杭州电信公司；</w:t>
      </w:r>
    </w:p>
    <w:p>
      <w:pPr>
        <w:pStyle w:val="27"/>
        <w:rPr>
          <w:rFonts w:hint="eastAsia"/>
          <w:szCs w:val="22"/>
        </w:rPr>
      </w:pPr>
      <w:r>
        <w:rPr>
          <w:rFonts w:hint="eastAsia"/>
          <w:szCs w:val="22"/>
        </w:rPr>
        <w:t>杭州移动公司；</w:t>
      </w:r>
    </w:p>
    <w:p>
      <w:pPr>
        <w:pStyle w:val="27"/>
        <w:rPr>
          <w:rFonts w:hint="eastAsia"/>
          <w:szCs w:val="22"/>
        </w:rPr>
      </w:pPr>
      <w:r>
        <w:rPr>
          <w:rFonts w:hint="eastAsia"/>
          <w:szCs w:val="22"/>
        </w:rPr>
        <w:t>杭州联通公司；</w:t>
      </w:r>
    </w:p>
    <w:p>
      <w:pPr>
        <w:pStyle w:val="27"/>
        <w:rPr>
          <w:rFonts w:hint="eastAsia"/>
          <w:szCs w:val="22"/>
        </w:rPr>
      </w:pPr>
      <w:r>
        <w:rPr>
          <w:rFonts w:hint="eastAsia"/>
          <w:szCs w:val="22"/>
        </w:rPr>
        <w:t>上海铁路局杭州办事处；</w:t>
      </w:r>
    </w:p>
    <w:p>
      <w:pPr>
        <w:pStyle w:val="27"/>
        <w:rPr>
          <w:rFonts w:hint="eastAsia"/>
          <w:szCs w:val="22"/>
        </w:rPr>
      </w:pPr>
      <w:r>
        <w:rPr>
          <w:rFonts w:hint="eastAsia"/>
          <w:szCs w:val="22"/>
        </w:rPr>
        <w:t>人民银行杭州中心支行。</w:t>
      </w:r>
    </w:p>
    <w:p>
      <w:pPr>
        <w:pStyle w:val="33"/>
        <w:numPr>
          <w:ilvl w:val="0"/>
          <w:numId w:val="0"/>
        </w:numPr>
        <w:ind w:left="839"/>
      </w:pPr>
    </w:p>
    <w:p>
      <w:pPr>
        <w:pStyle w:val="21"/>
        <w:ind w:firstLine="0" w:firstLineChars="0"/>
      </w:pPr>
    </w:p>
    <w:p>
      <w:pPr>
        <w:pStyle w:val="30"/>
        <w:rPr>
          <w:rFonts w:hint="eastAsia"/>
        </w:rPr>
      </w:pPr>
    </w:p>
    <w:p>
      <w:pPr>
        <w:pStyle w:val="31"/>
        <w:rPr>
          <w:rFonts w:hint="eastAsia"/>
        </w:rPr>
      </w:pPr>
    </w:p>
    <w:p>
      <w:pPr>
        <w:pStyle w:val="32"/>
        <w:rPr>
          <w:rFonts w:hint="eastAsia"/>
          <w:color w:val="auto"/>
        </w:rPr>
      </w:pPr>
      <w:r>
        <w:br w:type="textWrapping"/>
      </w:r>
      <w:r>
        <w:rPr>
          <w:rFonts w:hint="eastAsia"/>
        </w:rPr>
        <w:t>（资料性附录）</w:t>
      </w:r>
      <w:r>
        <w:br w:type="textWrapping"/>
      </w:r>
      <w:r>
        <w:rPr>
          <w:rFonts w:hint="eastAsia"/>
          <w:color w:val="auto"/>
        </w:rPr>
        <w:t>联动单位考核表</w:t>
      </w:r>
    </w:p>
    <w:tbl>
      <w:tblPr>
        <w:tblStyle w:val="2"/>
        <w:tblpPr w:leftFromText="180" w:rightFromText="180" w:vertAnchor="text" w:tblpXSpec="center" w:tblpY="1"/>
        <w:tblOverlap w:val="never"/>
        <w:tblW w:w="93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18"/>
        <w:gridCol w:w="7513"/>
        <w:gridCol w:w="6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18" w:type="dxa"/>
            <w:vAlign w:val="center"/>
          </w:tcPr>
          <w:p>
            <w:pPr>
              <w:pStyle w:val="21"/>
              <w:ind w:firstLine="0" w:firstLineChars="0"/>
              <w:jc w:val="center"/>
              <w:rPr>
                <w:rFonts w:hint="eastAsia"/>
                <w:color w:val="auto"/>
                <w:sz w:val="18"/>
                <w:szCs w:val="18"/>
                <w:highlight w:val="none"/>
              </w:rPr>
            </w:pPr>
            <w:r>
              <w:rPr>
                <w:rFonts w:hint="eastAsia"/>
                <w:color w:val="auto"/>
                <w:sz w:val="18"/>
                <w:szCs w:val="18"/>
                <w:highlight w:val="none"/>
              </w:rPr>
              <w:t>考核项目</w:t>
            </w:r>
          </w:p>
        </w:tc>
        <w:tc>
          <w:tcPr>
            <w:tcW w:w="7513" w:type="dxa"/>
            <w:vAlign w:val="center"/>
          </w:tcPr>
          <w:p>
            <w:pPr>
              <w:pStyle w:val="21"/>
              <w:ind w:firstLine="0" w:firstLineChars="0"/>
              <w:jc w:val="center"/>
              <w:rPr>
                <w:rFonts w:hint="eastAsia"/>
                <w:color w:val="auto"/>
                <w:sz w:val="18"/>
                <w:szCs w:val="18"/>
                <w:highlight w:val="none"/>
              </w:rPr>
            </w:pPr>
            <w:r>
              <w:rPr>
                <w:rFonts w:hint="eastAsia"/>
                <w:color w:val="auto"/>
                <w:sz w:val="18"/>
                <w:szCs w:val="18"/>
                <w:highlight w:val="none"/>
              </w:rPr>
              <w:t>考核内容</w:t>
            </w:r>
          </w:p>
        </w:tc>
        <w:tc>
          <w:tcPr>
            <w:tcW w:w="691" w:type="dxa"/>
            <w:vAlign w:val="center"/>
          </w:tcPr>
          <w:p>
            <w:pPr>
              <w:pStyle w:val="21"/>
              <w:ind w:firstLine="0" w:firstLineChars="0"/>
              <w:jc w:val="center"/>
              <w:rPr>
                <w:rFonts w:hint="eastAsia"/>
                <w:color w:val="auto"/>
                <w:sz w:val="18"/>
                <w:szCs w:val="18"/>
                <w:highlight w:val="none"/>
              </w:rPr>
            </w:pPr>
            <w:r>
              <w:rPr>
                <w:rFonts w:hint="eastAsia"/>
                <w:color w:val="auto"/>
                <w:sz w:val="18"/>
                <w:szCs w:val="18"/>
                <w:highlight w:val="none"/>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18" w:type="dxa"/>
            <w:vMerge w:val="restart"/>
            <w:vAlign w:val="center"/>
          </w:tcPr>
          <w:p>
            <w:pPr>
              <w:jc w:val="center"/>
              <w:rPr>
                <w:rFonts w:hint="eastAsia" w:ascii="宋体" w:hAnsi="宋体"/>
                <w:color w:val="auto"/>
                <w:sz w:val="18"/>
                <w:szCs w:val="18"/>
                <w:highlight w:val="none"/>
              </w:rPr>
            </w:pPr>
            <w:r>
              <w:rPr>
                <w:rFonts w:hint="eastAsia" w:ascii="宋体" w:hAnsi="宋体"/>
                <w:bCs/>
                <w:color w:val="auto"/>
                <w:sz w:val="18"/>
                <w:szCs w:val="18"/>
                <w:highlight w:val="none"/>
              </w:rPr>
              <w:t>1.值守到位</w:t>
            </w:r>
          </w:p>
        </w:tc>
        <w:tc>
          <w:tcPr>
            <w:tcW w:w="7513" w:type="dxa"/>
            <w:vAlign w:val="center"/>
          </w:tcPr>
          <w:p>
            <w:pPr>
              <w:jc w:val="left"/>
              <w:rPr>
                <w:rFonts w:hint="eastAsia" w:ascii="宋体" w:hAnsi="宋体"/>
                <w:color w:val="auto"/>
                <w:sz w:val="18"/>
                <w:szCs w:val="18"/>
                <w:highlight w:val="none"/>
              </w:rPr>
            </w:pPr>
            <w:r>
              <w:rPr>
                <w:rFonts w:hint="eastAsia" w:ascii="宋体" w:hAnsi="宋体"/>
                <w:color w:val="auto"/>
                <w:sz w:val="18"/>
                <w:szCs w:val="18"/>
                <w:highlight w:val="none"/>
              </w:rPr>
              <w:t>1.1 建立、落实值班出勤和三定制度</w:t>
            </w:r>
          </w:p>
        </w:tc>
        <w:tc>
          <w:tcPr>
            <w:tcW w:w="691" w:type="dxa"/>
            <w:vMerge w:val="restart"/>
            <w:vAlign w:val="center"/>
          </w:tcPr>
          <w:p>
            <w:pPr>
              <w:pStyle w:val="21"/>
              <w:ind w:firstLine="0" w:firstLineChars="0"/>
              <w:jc w:val="center"/>
              <w:rPr>
                <w:rFonts w:hint="eastAsia" w:hAnsi="宋体" w:eastAsia="宋体"/>
                <w:color w:val="auto"/>
                <w:sz w:val="18"/>
                <w:szCs w:val="18"/>
                <w:highlight w:val="none"/>
                <w:lang w:val="en-US" w:eastAsia="zh-CN"/>
              </w:rPr>
            </w:pPr>
            <w:r>
              <w:rPr>
                <w:rFonts w:hint="eastAsia" w:hAnsi="宋体"/>
                <w:color w:val="auto"/>
                <w:sz w:val="18"/>
                <w:szCs w:val="18"/>
                <w:highlight w:val="none"/>
                <w:lang w:val="en-US" w:eastAsia="zh-CN"/>
              </w:rPr>
              <w:t>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18" w:type="dxa"/>
            <w:vMerge w:val="continue"/>
            <w:vAlign w:val="center"/>
          </w:tcPr>
          <w:p>
            <w:pPr>
              <w:pStyle w:val="21"/>
              <w:ind w:firstLine="0" w:firstLineChars="0"/>
              <w:jc w:val="center"/>
              <w:rPr>
                <w:rFonts w:hint="eastAsia" w:hAnsi="宋体"/>
                <w:color w:val="auto"/>
                <w:sz w:val="18"/>
                <w:szCs w:val="18"/>
                <w:highlight w:val="none"/>
              </w:rPr>
            </w:pPr>
          </w:p>
        </w:tc>
        <w:tc>
          <w:tcPr>
            <w:tcW w:w="7513" w:type="dxa"/>
            <w:vAlign w:val="center"/>
          </w:tcPr>
          <w:p>
            <w:pPr>
              <w:jc w:val="left"/>
              <w:rPr>
                <w:rFonts w:hint="eastAsia" w:ascii="宋体" w:hAnsi="宋体"/>
                <w:color w:val="auto"/>
                <w:sz w:val="18"/>
                <w:szCs w:val="18"/>
                <w:highlight w:val="none"/>
              </w:rPr>
            </w:pPr>
            <w:r>
              <w:rPr>
                <w:rFonts w:hint="eastAsia" w:ascii="宋体" w:hAnsi="宋体"/>
                <w:color w:val="auto"/>
                <w:sz w:val="18"/>
                <w:szCs w:val="18"/>
                <w:highlight w:val="none"/>
              </w:rPr>
              <w:t>1.2 不得出现值班电话无人接听、值班人员联系不上或对讲机无人应答等情况</w:t>
            </w:r>
          </w:p>
        </w:tc>
        <w:tc>
          <w:tcPr>
            <w:tcW w:w="691" w:type="dxa"/>
            <w:vMerge w:val="continue"/>
            <w:vAlign w:val="center"/>
          </w:tcPr>
          <w:p>
            <w:pPr>
              <w:pStyle w:val="21"/>
              <w:ind w:firstLine="0" w:firstLineChars="0"/>
              <w:jc w:val="center"/>
              <w:rPr>
                <w:rFonts w:hint="eastAsia" w:hAnsi="宋体"/>
                <w:color w:val="auto"/>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18" w:type="dxa"/>
            <w:vMerge w:val="continue"/>
            <w:vAlign w:val="center"/>
          </w:tcPr>
          <w:p>
            <w:pPr>
              <w:pStyle w:val="21"/>
              <w:ind w:firstLine="0" w:firstLineChars="0"/>
              <w:jc w:val="center"/>
              <w:rPr>
                <w:rFonts w:hint="eastAsia" w:hAnsi="宋体"/>
                <w:color w:val="auto"/>
                <w:sz w:val="18"/>
                <w:szCs w:val="18"/>
                <w:highlight w:val="none"/>
              </w:rPr>
            </w:pPr>
          </w:p>
        </w:tc>
        <w:tc>
          <w:tcPr>
            <w:tcW w:w="7513" w:type="dxa"/>
            <w:vAlign w:val="center"/>
          </w:tcPr>
          <w:p>
            <w:pPr>
              <w:jc w:val="left"/>
              <w:rPr>
                <w:rFonts w:hint="eastAsia" w:ascii="宋体" w:hAnsi="宋体"/>
                <w:color w:val="auto"/>
                <w:sz w:val="18"/>
                <w:szCs w:val="18"/>
                <w:highlight w:val="none"/>
              </w:rPr>
            </w:pPr>
            <w:r>
              <w:rPr>
                <w:rFonts w:hint="eastAsia" w:ascii="宋体" w:hAnsi="宋体"/>
                <w:color w:val="auto"/>
                <w:sz w:val="18"/>
                <w:szCs w:val="18"/>
                <w:highlight w:val="none"/>
              </w:rPr>
              <w:t>1.3 值班人员、电话、地址等信息变更及时向中心报备</w:t>
            </w:r>
          </w:p>
        </w:tc>
        <w:tc>
          <w:tcPr>
            <w:tcW w:w="691" w:type="dxa"/>
            <w:vMerge w:val="continue"/>
            <w:vAlign w:val="center"/>
          </w:tcPr>
          <w:p>
            <w:pPr>
              <w:pStyle w:val="21"/>
              <w:ind w:firstLine="0" w:firstLineChars="0"/>
              <w:jc w:val="center"/>
              <w:rPr>
                <w:rFonts w:hint="eastAsia" w:hAnsi="宋体"/>
                <w:color w:val="auto"/>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18" w:type="dxa"/>
            <w:vMerge w:val="continue"/>
            <w:vAlign w:val="center"/>
          </w:tcPr>
          <w:p>
            <w:pPr>
              <w:pStyle w:val="21"/>
              <w:ind w:firstLine="0" w:firstLineChars="0"/>
              <w:jc w:val="center"/>
              <w:rPr>
                <w:rFonts w:hint="eastAsia" w:hAnsi="宋体"/>
                <w:color w:val="auto"/>
                <w:sz w:val="18"/>
                <w:szCs w:val="18"/>
                <w:highlight w:val="none"/>
              </w:rPr>
            </w:pPr>
          </w:p>
        </w:tc>
        <w:tc>
          <w:tcPr>
            <w:tcW w:w="7513" w:type="dxa"/>
            <w:vAlign w:val="center"/>
          </w:tcPr>
          <w:p>
            <w:pPr>
              <w:jc w:val="left"/>
              <w:rPr>
                <w:rFonts w:hint="eastAsia" w:ascii="宋体" w:hAnsi="宋体"/>
                <w:color w:val="auto"/>
                <w:sz w:val="18"/>
                <w:szCs w:val="18"/>
                <w:highlight w:val="none"/>
              </w:rPr>
            </w:pPr>
            <w:r>
              <w:rPr>
                <w:rFonts w:hint="eastAsia" w:ascii="宋体" w:hAnsi="宋体"/>
                <w:color w:val="auto"/>
                <w:sz w:val="18"/>
                <w:szCs w:val="18"/>
                <w:highlight w:val="none"/>
              </w:rPr>
              <w:t>1.4 配备专人值守和维护联动平台值守电脑、对讲机、值班电话等设备</w:t>
            </w:r>
          </w:p>
        </w:tc>
        <w:tc>
          <w:tcPr>
            <w:tcW w:w="691" w:type="dxa"/>
            <w:vMerge w:val="continue"/>
            <w:vAlign w:val="center"/>
          </w:tcPr>
          <w:p>
            <w:pPr>
              <w:pStyle w:val="21"/>
              <w:ind w:firstLine="0" w:firstLineChars="0"/>
              <w:jc w:val="center"/>
              <w:rPr>
                <w:rFonts w:hint="eastAsia" w:hAnsi="宋体"/>
                <w:color w:val="auto"/>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 w:hRule="atLeast"/>
        </w:trPr>
        <w:tc>
          <w:tcPr>
            <w:tcW w:w="1118" w:type="dxa"/>
            <w:vMerge w:val="continue"/>
            <w:vAlign w:val="center"/>
          </w:tcPr>
          <w:p>
            <w:pPr>
              <w:pStyle w:val="21"/>
              <w:ind w:firstLine="0" w:firstLineChars="0"/>
              <w:jc w:val="center"/>
              <w:rPr>
                <w:rFonts w:hint="eastAsia" w:hAnsi="宋体"/>
                <w:color w:val="auto"/>
                <w:sz w:val="18"/>
                <w:szCs w:val="18"/>
                <w:highlight w:val="none"/>
              </w:rPr>
            </w:pPr>
          </w:p>
        </w:tc>
        <w:tc>
          <w:tcPr>
            <w:tcW w:w="7513" w:type="dxa"/>
            <w:vAlign w:val="center"/>
          </w:tcPr>
          <w:p>
            <w:pPr>
              <w:jc w:val="left"/>
              <w:rPr>
                <w:rFonts w:hint="eastAsia" w:ascii="宋体" w:hAnsi="宋体"/>
                <w:color w:val="auto"/>
                <w:sz w:val="18"/>
                <w:szCs w:val="18"/>
                <w:highlight w:val="none"/>
              </w:rPr>
            </w:pPr>
            <w:r>
              <w:rPr>
                <w:rFonts w:hint="eastAsia" w:ascii="宋体" w:hAnsi="宋体"/>
                <w:color w:val="auto"/>
                <w:sz w:val="18"/>
                <w:szCs w:val="18"/>
                <w:highlight w:val="none"/>
              </w:rPr>
              <w:t>1.5 设备发生故障，及时报备</w:t>
            </w:r>
          </w:p>
        </w:tc>
        <w:tc>
          <w:tcPr>
            <w:tcW w:w="691" w:type="dxa"/>
            <w:vMerge w:val="continue"/>
            <w:vAlign w:val="center"/>
          </w:tcPr>
          <w:p>
            <w:pPr>
              <w:pStyle w:val="21"/>
              <w:ind w:firstLine="0" w:firstLineChars="0"/>
              <w:jc w:val="center"/>
              <w:rPr>
                <w:rFonts w:hint="eastAsia" w:hAnsi="宋体"/>
                <w:color w:val="auto"/>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18" w:type="dxa"/>
            <w:vMerge w:val="continue"/>
            <w:vAlign w:val="center"/>
          </w:tcPr>
          <w:p>
            <w:pPr>
              <w:pStyle w:val="21"/>
              <w:ind w:firstLine="0" w:firstLineChars="0"/>
              <w:jc w:val="center"/>
              <w:rPr>
                <w:rFonts w:hint="eastAsia" w:hAnsi="宋体"/>
                <w:color w:val="auto"/>
                <w:sz w:val="18"/>
                <w:szCs w:val="18"/>
                <w:highlight w:val="none"/>
              </w:rPr>
            </w:pPr>
          </w:p>
        </w:tc>
        <w:tc>
          <w:tcPr>
            <w:tcW w:w="7513" w:type="dxa"/>
            <w:vAlign w:val="center"/>
          </w:tcPr>
          <w:p>
            <w:pPr>
              <w:jc w:val="left"/>
              <w:rPr>
                <w:rFonts w:hint="eastAsia" w:ascii="宋体" w:hAnsi="宋体"/>
                <w:color w:val="auto"/>
                <w:sz w:val="18"/>
                <w:szCs w:val="18"/>
                <w:highlight w:val="none"/>
              </w:rPr>
            </w:pPr>
            <w:r>
              <w:rPr>
                <w:rFonts w:hint="eastAsia" w:ascii="宋体" w:hAnsi="宋体"/>
                <w:color w:val="auto"/>
                <w:sz w:val="18"/>
                <w:szCs w:val="18"/>
                <w:highlight w:val="none"/>
              </w:rPr>
              <w:t>1.6 启用战时联动专班集中办公模式并无条件服从中心指令</w:t>
            </w:r>
          </w:p>
        </w:tc>
        <w:tc>
          <w:tcPr>
            <w:tcW w:w="691" w:type="dxa"/>
            <w:vMerge w:val="continue"/>
            <w:vAlign w:val="center"/>
          </w:tcPr>
          <w:p>
            <w:pPr>
              <w:pStyle w:val="21"/>
              <w:ind w:firstLine="0" w:firstLineChars="0"/>
              <w:jc w:val="center"/>
              <w:rPr>
                <w:rFonts w:hint="eastAsia" w:hAnsi="宋体"/>
                <w:color w:val="auto"/>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18" w:type="dxa"/>
            <w:vMerge w:val="restart"/>
            <w:vAlign w:val="center"/>
          </w:tcPr>
          <w:p>
            <w:pPr>
              <w:pStyle w:val="21"/>
              <w:ind w:firstLine="0" w:firstLineChars="0"/>
              <w:jc w:val="center"/>
              <w:rPr>
                <w:rFonts w:hint="eastAsia" w:hAnsi="宋体"/>
                <w:color w:val="auto"/>
                <w:sz w:val="18"/>
                <w:szCs w:val="18"/>
                <w:highlight w:val="none"/>
              </w:rPr>
            </w:pPr>
            <w:r>
              <w:rPr>
                <w:rFonts w:hint="eastAsia" w:hAnsi="宋体"/>
                <w:color w:val="auto"/>
                <w:sz w:val="18"/>
                <w:szCs w:val="18"/>
                <w:highlight w:val="none"/>
              </w:rPr>
              <w:t>2.及时签收</w:t>
            </w:r>
          </w:p>
        </w:tc>
        <w:tc>
          <w:tcPr>
            <w:tcW w:w="7513" w:type="dxa"/>
            <w:vAlign w:val="center"/>
          </w:tcPr>
          <w:p>
            <w:pPr>
              <w:jc w:val="left"/>
              <w:rPr>
                <w:rFonts w:hint="eastAsia" w:ascii="宋体" w:hAnsi="宋体"/>
                <w:color w:val="auto"/>
                <w:sz w:val="18"/>
                <w:szCs w:val="18"/>
                <w:highlight w:val="none"/>
              </w:rPr>
            </w:pPr>
            <w:r>
              <w:rPr>
                <w:rFonts w:hint="eastAsia" w:ascii="宋体" w:hAnsi="宋体"/>
                <w:color w:val="auto"/>
                <w:sz w:val="18"/>
                <w:szCs w:val="18"/>
                <w:highlight w:val="none"/>
              </w:rPr>
              <w:t>2.1 应在中心指令下发后5分钟内完成平台签收</w:t>
            </w:r>
          </w:p>
        </w:tc>
        <w:tc>
          <w:tcPr>
            <w:tcW w:w="691" w:type="dxa"/>
            <w:vMerge w:val="restart"/>
            <w:vAlign w:val="center"/>
          </w:tcPr>
          <w:p>
            <w:pPr>
              <w:pStyle w:val="21"/>
              <w:ind w:firstLine="0" w:firstLineChars="0"/>
              <w:jc w:val="center"/>
              <w:rPr>
                <w:rFonts w:hint="eastAsia" w:hAnsi="宋体" w:eastAsia="宋体"/>
                <w:color w:val="auto"/>
                <w:sz w:val="18"/>
                <w:szCs w:val="18"/>
                <w:highlight w:val="none"/>
                <w:lang w:val="en-US" w:eastAsia="zh-CN"/>
              </w:rPr>
            </w:pPr>
            <w:r>
              <w:rPr>
                <w:rFonts w:hint="eastAsia" w:hAnsi="宋体"/>
                <w:color w:val="auto"/>
                <w:sz w:val="18"/>
                <w:szCs w:val="18"/>
                <w:highlight w:val="none"/>
                <w:lang w:val="en-US" w:eastAsia="zh-CN"/>
              </w:rPr>
              <w:t>10分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18" w:type="dxa"/>
            <w:vMerge w:val="continue"/>
            <w:vAlign w:val="center"/>
          </w:tcPr>
          <w:p>
            <w:pPr>
              <w:pStyle w:val="21"/>
              <w:ind w:firstLine="0" w:firstLineChars="0"/>
              <w:jc w:val="center"/>
              <w:rPr>
                <w:rFonts w:hint="eastAsia" w:hAnsi="宋体"/>
                <w:color w:val="auto"/>
                <w:sz w:val="18"/>
                <w:szCs w:val="18"/>
                <w:highlight w:val="none"/>
              </w:rPr>
            </w:pPr>
          </w:p>
        </w:tc>
        <w:tc>
          <w:tcPr>
            <w:tcW w:w="7513" w:type="dxa"/>
            <w:vAlign w:val="center"/>
          </w:tcPr>
          <w:p>
            <w:pPr>
              <w:jc w:val="left"/>
              <w:rPr>
                <w:rFonts w:hint="eastAsia" w:ascii="宋体" w:hAnsi="宋体"/>
                <w:color w:val="auto"/>
                <w:sz w:val="18"/>
                <w:szCs w:val="18"/>
                <w:highlight w:val="none"/>
              </w:rPr>
            </w:pPr>
            <w:r>
              <w:rPr>
                <w:rFonts w:hint="eastAsia" w:ascii="宋体" w:hAnsi="宋体"/>
                <w:color w:val="auto"/>
                <w:sz w:val="18"/>
                <w:szCs w:val="18"/>
                <w:highlight w:val="none"/>
              </w:rPr>
              <w:t>2.2 遇设备故障应在发生故障后10分钟内通过电话或对讲机向中心报备，并在2小时候内完成设备维修</w:t>
            </w:r>
          </w:p>
        </w:tc>
        <w:tc>
          <w:tcPr>
            <w:tcW w:w="691" w:type="dxa"/>
            <w:vMerge w:val="continue"/>
            <w:vAlign w:val="center"/>
          </w:tcPr>
          <w:p>
            <w:pPr>
              <w:pStyle w:val="21"/>
              <w:ind w:firstLine="0" w:firstLineChars="0"/>
              <w:jc w:val="center"/>
              <w:rPr>
                <w:rFonts w:hint="eastAsia" w:hAnsi="宋体"/>
                <w:color w:val="auto"/>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18" w:type="dxa"/>
            <w:vMerge w:val="restart"/>
            <w:vAlign w:val="center"/>
          </w:tcPr>
          <w:p>
            <w:pPr>
              <w:pStyle w:val="21"/>
              <w:ind w:firstLine="0" w:firstLineChars="0"/>
              <w:jc w:val="center"/>
              <w:rPr>
                <w:rFonts w:hint="eastAsia" w:hAnsi="宋体"/>
                <w:color w:val="auto"/>
                <w:sz w:val="18"/>
                <w:szCs w:val="18"/>
                <w:highlight w:val="none"/>
              </w:rPr>
            </w:pPr>
            <w:r>
              <w:rPr>
                <w:rFonts w:hint="eastAsia" w:hAnsi="宋体"/>
                <w:color w:val="auto"/>
                <w:sz w:val="18"/>
                <w:szCs w:val="18"/>
                <w:highlight w:val="none"/>
              </w:rPr>
              <w:t>3.处置规范</w:t>
            </w:r>
          </w:p>
        </w:tc>
        <w:tc>
          <w:tcPr>
            <w:tcW w:w="7513" w:type="dxa"/>
            <w:vAlign w:val="center"/>
          </w:tcPr>
          <w:p>
            <w:pPr>
              <w:jc w:val="left"/>
              <w:rPr>
                <w:rFonts w:hint="eastAsia" w:ascii="宋体" w:hAnsi="宋体"/>
                <w:color w:val="auto"/>
                <w:sz w:val="18"/>
                <w:szCs w:val="18"/>
                <w:highlight w:val="none"/>
              </w:rPr>
            </w:pPr>
            <w:r>
              <w:rPr>
                <w:rFonts w:hint="eastAsia" w:ascii="宋体" w:hAnsi="宋体"/>
                <w:color w:val="auto"/>
                <w:sz w:val="18"/>
                <w:szCs w:val="18"/>
                <w:highlight w:val="none"/>
              </w:rPr>
              <w:t>3.1 处置人员应主动介入事件处置，并按要求做好音、视频记录或书面登记</w:t>
            </w:r>
          </w:p>
        </w:tc>
        <w:tc>
          <w:tcPr>
            <w:tcW w:w="691" w:type="dxa"/>
            <w:vMerge w:val="restart"/>
            <w:vAlign w:val="center"/>
          </w:tcPr>
          <w:p>
            <w:pPr>
              <w:pStyle w:val="21"/>
              <w:ind w:firstLine="0" w:firstLineChars="0"/>
              <w:jc w:val="center"/>
              <w:rPr>
                <w:rFonts w:hint="eastAsia" w:hAnsi="宋体" w:eastAsia="宋体"/>
                <w:color w:val="auto"/>
                <w:kern w:val="2"/>
                <w:sz w:val="18"/>
                <w:szCs w:val="18"/>
                <w:highlight w:val="none"/>
                <w:lang w:val="en-US" w:eastAsia="zh-CN"/>
              </w:rPr>
            </w:pPr>
            <w:r>
              <w:rPr>
                <w:rFonts w:hint="eastAsia" w:hAnsi="宋体"/>
                <w:color w:val="auto"/>
                <w:kern w:val="2"/>
                <w:sz w:val="18"/>
                <w:szCs w:val="18"/>
                <w:highlight w:val="none"/>
                <w:lang w:val="en-US" w:eastAsia="zh-CN"/>
              </w:rPr>
              <w:t>30分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18" w:type="dxa"/>
            <w:vMerge w:val="continue"/>
            <w:vAlign w:val="center"/>
          </w:tcPr>
          <w:p>
            <w:pPr>
              <w:pStyle w:val="21"/>
              <w:ind w:firstLine="0" w:firstLineChars="0"/>
              <w:jc w:val="center"/>
              <w:rPr>
                <w:rFonts w:hint="eastAsia" w:hAnsi="宋体"/>
                <w:color w:val="auto"/>
                <w:sz w:val="18"/>
                <w:szCs w:val="18"/>
                <w:highlight w:val="none"/>
              </w:rPr>
            </w:pPr>
          </w:p>
        </w:tc>
        <w:tc>
          <w:tcPr>
            <w:tcW w:w="7513" w:type="dxa"/>
            <w:vAlign w:val="center"/>
          </w:tcPr>
          <w:p>
            <w:pPr>
              <w:jc w:val="left"/>
              <w:rPr>
                <w:rFonts w:hint="eastAsia" w:ascii="宋体" w:hAnsi="宋体"/>
                <w:color w:val="auto"/>
                <w:sz w:val="18"/>
                <w:szCs w:val="18"/>
                <w:highlight w:val="none"/>
              </w:rPr>
            </w:pPr>
            <w:r>
              <w:rPr>
                <w:rFonts w:hint="eastAsia" w:ascii="宋体" w:hAnsi="宋体"/>
                <w:color w:val="auto"/>
                <w:sz w:val="18"/>
                <w:szCs w:val="18"/>
                <w:highlight w:val="none"/>
              </w:rPr>
              <w:t>3.2 对一时性质不清、职责交叉、区域不明的事件，按照“先处置、后移交”的原则，现行处置</w:t>
            </w:r>
          </w:p>
        </w:tc>
        <w:tc>
          <w:tcPr>
            <w:tcW w:w="691" w:type="dxa"/>
            <w:vMerge w:val="continue"/>
            <w:vAlign w:val="center"/>
          </w:tcPr>
          <w:p>
            <w:pPr>
              <w:pStyle w:val="21"/>
              <w:ind w:firstLine="0" w:firstLineChars="0"/>
              <w:jc w:val="center"/>
              <w:rPr>
                <w:rFonts w:hint="eastAsia" w:hAnsi="宋体"/>
                <w:color w:val="auto"/>
                <w:kern w:val="2"/>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18" w:type="dxa"/>
            <w:vMerge w:val="continue"/>
            <w:vAlign w:val="center"/>
          </w:tcPr>
          <w:p>
            <w:pPr>
              <w:pStyle w:val="21"/>
              <w:ind w:firstLine="0" w:firstLineChars="0"/>
              <w:jc w:val="center"/>
              <w:rPr>
                <w:rFonts w:hint="eastAsia" w:hAnsi="宋体"/>
                <w:color w:val="auto"/>
                <w:sz w:val="18"/>
                <w:szCs w:val="18"/>
                <w:highlight w:val="none"/>
              </w:rPr>
            </w:pPr>
          </w:p>
        </w:tc>
        <w:tc>
          <w:tcPr>
            <w:tcW w:w="7513" w:type="dxa"/>
            <w:vAlign w:val="center"/>
          </w:tcPr>
          <w:p>
            <w:pPr>
              <w:jc w:val="left"/>
              <w:rPr>
                <w:rFonts w:hint="eastAsia" w:ascii="宋体" w:hAnsi="宋体"/>
                <w:color w:val="auto"/>
                <w:sz w:val="18"/>
                <w:szCs w:val="18"/>
                <w:highlight w:val="none"/>
              </w:rPr>
            </w:pPr>
            <w:r>
              <w:rPr>
                <w:rFonts w:hint="eastAsia" w:ascii="宋体" w:hAnsi="宋体"/>
                <w:color w:val="auto"/>
                <w:sz w:val="18"/>
                <w:szCs w:val="18"/>
                <w:highlight w:val="none"/>
              </w:rPr>
              <w:t>3.3 应及时督导、落实区、县（市）本条线处置力量规范开展处置工作，全程跟踪事件处置并做好指导、协调及增援等工作</w:t>
            </w:r>
          </w:p>
        </w:tc>
        <w:tc>
          <w:tcPr>
            <w:tcW w:w="691" w:type="dxa"/>
            <w:vMerge w:val="continue"/>
            <w:vAlign w:val="center"/>
          </w:tcPr>
          <w:p>
            <w:pPr>
              <w:pStyle w:val="21"/>
              <w:ind w:firstLine="0" w:firstLineChars="0"/>
              <w:jc w:val="center"/>
              <w:rPr>
                <w:rFonts w:hint="eastAsia" w:hAnsi="宋体"/>
                <w:color w:val="auto"/>
                <w:kern w:val="2"/>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18" w:type="dxa"/>
            <w:vMerge w:val="restart"/>
            <w:vAlign w:val="center"/>
          </w:tcPr>
          <w:p>
            <w:pPr>
              <w:pStyle w:val="21"/>
              <w:ind w:firstLine="0" w:firstLineChars="0"/>
              <w:jc w:val="center"/>
              <w:rPr>
                <w:rFonts w:hint="eastAsia" w:hAnsi="宋体"/>
                <w:color w:val="auto"/>
                <w:sz w:val="18"/>
                <w:szCs w:val="18"/>
                <w:highlight w:val="none"/>
              </w:rPr>
            </w:pPr>
            <w:r>
              <w:rPr>
                <w:rFonts w:hint="eastAsia" w:hAnsi="宋体"/>
                <w:color w:val="auto"/>
                <w:sz w:val="18"/>
                <w:szCs w:val="18"/>
                <w:highlight w:val="none"/>
              </w:rPr>
              <w:t>4.反馈处结</w:t>
            </w:r>
          </w:p>
        </w:tc>
        <w:tc>
          <w:tcPr>
            <w:tcW w:w="7513" w:type="dxa"/>
            <w:vAlign w:val="center"/>
          </w:tcPr>
          <w:p>
            <w:pPr>
              <w:jc w:val="left"/>
              <w:rPr>
                <w:rFonts w:hint="eastAsia" w:ascii="宋体" w:hAnsi="宋体"/>
                <w:color w:val="auto"/>
                <w:sz w:val="18"/>
                <w:szCs w:val="18"/>
                <w:highlight w:val="none"/>
              </w:rPr>
            </w:pPr>
            <w:r>
              <w:rPr>
                <w:rFonts w:hint="eastAsia" w:ascii="宋体" w:hAnsi="宋体"/>
                <w:color w:val="auto"/>
                <w:sz w:val="18"/>
                <w:szCs w:val="18"/>
                <w:highlight w:val="none"/>
              </w:rPr>
              <w:t>4.1 应在指令下达1小时候内完成初次反馈，24小时内反馈处理结果</w:t>
            </w:r>
          </w:p>
        </w:tc>
        <w:tc>
          <w:tcPr>
            <w:tcW w:w="691" w:type="dxa"/>
            <w:vMerge w:val="restart"/>
            <w:vAlign w:val="center"/>
          </w:tcPr>
          <w:p>
            <w:pPr>
              <w:pStyle w:val="21"/>
              <w:ind w:firstLine="0" w:firstLineChars="0"/>
              <w:jc w:val="center"/>
              <w:rPr>
                <w:rFonts w:hint="eastAsia" w:hAnsi="宋体" w:eastAsia="宋体"/>
                <w:color w:val="auto"/>
                <w:sz w:val="18"/>
                <w:szCs w:val="18"/>
                <w:highlight w:val="none"/>
                <w:lang w:val="en-US" w:eastAsia="zh-CN"/>
              </w:rPr>
            </w:pPr>
            <w:r>
              <w:rPr>
                <w:rFonts w:hint="eastAsia" w:hAnsi="宋体"/>
                <w:color w:val="auto"/>
                <w:sz w:val="18"/>
                <w:szCs w:val="18"/>
                <w:highlight w:val="none"/>
                <w:lang w:val="en-US" w:eastAsia="zh-CN"/>
              </w:rPr>
              <w:t>30分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18" w:type="dxa"/>
            <w:vMerge w:val="continue"/>
            <w:vAlign w:val="center"/>
          </w:tcPr>
          <w:p>
            <w:pPr>
              <w:pStyle w:val="21"/>
              <w:ind w:firstLine="0" w:firstLineChars="0"/>
              <w:jc w:val="center"/>
              <w:rPr>
                <w:rFonts w:hint="eastAsia" w:hAnsi="宋体"/>
                <w:color w:val="auto"/>
                <w:sz w:val="18"/>
                <w:szCs w:val="18"/>
                <w:highlight w:val="none"/>
              </w:rPr>
            </w:pPr>
          </w:p>
        </w:tc>
        <w:tc>
          <w:tcPr>
            <w:tcW w:w="7513" w:type="dxa"/>
            <w:vAlign w:val="center"/>
          </w:tcPr>
          <w:p>
            <w:pPr>
              <w:jc w:val="left"/>
              <w:rPr>
                <w:rFonts w:hint="eastAsia" w:ascii="宋体" w:hAnsi="宋体"/>
                <w:color w:val="auto"/>
                <w:sz w:val="18"/>
                <w:szCs w:val="18"/>
                <w:highlight w:val="none"/>
              </w:rPr>
            </w:pPr>
            <w:r>
              <w:rPr>
                <w:rFonts w:hint="eastAsia" w:ascii="宋体" w:hAnsi="宋体"/>
                <w:color w:val="auto"/>
                <w:sz w:val="18"/>
                <w:szCs w:val="18"/>
                <w:highlight w:val="none"/>
              </w:rPr>
              <w:t>4.2 遇重大应急突发事件，应在规定到达时间内向中心电话反馈处置人员及联系方式，到达现场后实时反馈现场情况等信息</w:t>
            </w:r>
          </w:p>
        </w:tc>
        <w:tc>
          <w:tcPr>
            <w:tcW w:w="691" w:type="dxa"/>
            <w:vMerge w:val="continue"/>
            <w:vAlign w:val="center"/>
          </w:tcPr>
          <w:p>
            <w:pPr>
              <w:pStyle w:val="21"/>
              <w:ind w:firstLine="0" w:firstLineChars="0"/>
              <w:jc w:val="center"/>
              <w:rPr>
                <w:rFonts w:hint="eastAsia" w:hAnsi="宋体"/>
                <w:color w:val="auto"/>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18" w:type="dxa"/>
            <w:vMerge w:val="continue"/>
            <w:vAlign w:val="center"/>
          </w:tcPr>
          <w:p>
            <w:pPr>
              <w:pStyle w:val="21"/>
              <w:ind w:firstLine="0" w:firstLineChars="0"/>
              <w:jc w:val="center"/>
              <w:rPr>
                <w:rFonts w:hint="eastAsia" w:hAnsi="宋体"/>
                <w:color w:val="auto"/>
                <w:sz w:val="18"/>
                <w:szCs w:val="18"/>
                <w:highlight w:val="none"/>
              </w:rPr>
            </w:pPr>
          </w:p>
        </w:tc>
        <w:tc>
          <w:tcPr>
            <w:tcW w:w="7513" w:type="dxa"/>
            <w:vAlign w:val="center"/>
          </w:tcPr>
          <w:p>
            <w:pPr>
              <w:jc w:val="left"/>
              <w:rPr>
                <w:rFonts w:hint="eastAsia" w:ascii="宋体" w:hAnsi="宋体"/>
                <w:color w:val="auto"/>
                <w:sz w:val="18"/>
                <w:szCs w:val="18"/>
                <w:highlight w:val="none"/>
              </w:rPr>
            </w:pPr>
            <w:r>
              <w:rPr>
                <w:rFonts w:hint="eastAsia" w:ascii="宋体" w:hAnsi="宋体"/>
                <w:color w:val="auto"/>
                <w:sz w:val="18"/>
                <w:szCs w:val="18"/>
                <w:highlight w:val="none"/>
              </w:rPr>
              <w:t>4.3 初次反馈内容应包含处置部门、人员、到场时间、现场情况等信息；处理结果应包含发生时间、地址、事件类别、类型、简要情况及处理情况、经办人等信息</w:t>
            </w:r>
          </w:p>
        </w:tc>
        <w:tc>
          <w:tcPr>
            <w:tcW w:w="691" w:type="dxa"/>
            <w:vMerge w:val="continue"/>
            <w:vAlign w:val="center"/>
          </w:tcPr>
          <w:p>
            <w:pPr>
              <w:pStyle w:val="21"/>
              <w:ind w:firstLine="0" w:firstLineChars="0"/>
              <w:jc w:val="center"/>
              <w:rPr>
                <w:rFonts w:hint="eastAsia" w:hAnsi="宋体"/>
                <w:color w:val="auto"/>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18" w:type="dxa"/>
            <w:vMerge w:val="restart"/>
            <w:vAlign w:val="center"/>
          </w:tcPr>
          <w:p>
            <w:pPr>
              <w:pStyle w:val="21"/>
              <w:ind w:firstLine="0" w:firstLineChars="0"/>
              <w:jc w:val="center"/>
              <w:rPr>
                <w:rFonts w:hint="eastAsia" w:hAnsi="宋体"/>
                <w:color w:val="auto"/>
                <w:sz w:val="18"/>
                <w:szCs w:val="18"/>
                <w:highlight w:val="none"/>
              </w:rPr>
            </w:pPr>
            <w:r>
              <w:rPr>
                <w:rFonts w:hint="eastAsia" w:hAnsi="宋体"/>
                <w:color w:val="auto"/>
                <w:sz w:val="18"/>
                <w:szCs w:val="18"/>
                <w:highlight w:val="none"/>
              </w:rPr>
              <w:t>5.整改落实</w:t>
            </w:r>
          </w:p>
        </w:tc>
        <w:tc>
          <w:tcPr>
            <w:tcW w:w="7513" w:type="dxa"/>
            <w:vAlign w:val="center"/>
          </w:tcPr>
          <w:p>
            <w:pPr>
              <w:pStyle w:val="21"/>
              <w:ind w:firstLine="0" w:firstLineChars="0"/>
              <w:jc w:val="left"/>
              <w:rPr>
                <w:rFonts w:hint="eastAsia" w:hAnsi="宋体"/>
                <w:color w:val="auto"/>
                <w:sz w:val="18"/>
                <w:szCs w:val="18"/>
                <w:highlight w:val="none"/>
              </w:rPr>
            </w:pPr>
            <w:r>
              <w:rPr>
                <w:rFonts w:hint="eastAsia" w:hAnsi="宋体"/>
                <w:color w:val="auto"/>
                <w:sz w:val="18"/>
                <w:szCs w:val="18"/>
                <w:highlight w:val="none"/>
              </w:rPr>
              <w:t>5.1 及时上报人才库人员名单</w:t>
            </w:r>
          </w:p>
        </w:tc>
        <w:tc>
          <w:tcPr>
            <w:tcW w:w="691" w:type="dxa"/>
            <w:vMerge w:val="restart"/>
            <w:vAlign w:val="center"/>
          </w:tcPr>
          <w:p>
            <w:pPr>
              <w:pStyle w:val="21"/>
              <w:ind w:firstLine="0" w:firstLineChars="0"/>
              <w:jc w:val="center"/>
              <w:rPr>
                <w:rFonts w:hint="eastAsia" w:hAnsi="宋体" w:eastAsia="宋体"/>
                <w:color w:val="auto"/>
                <w:sz w:val="18"/>
                <w:szCs w:val="18"/>
                <w:highlight w:val="none"/>
                <w:lang w:val="en-US" w:eastAsia="zh-CN"/>
              </w:rPr>
            </w:pPr>
            <w:r>
              <w:rPr>
                <w:rFonts w:hint="eastAsia" w:hAnsi="宋体"/>
                <w:color w:val="auto"/>
                <w:sz w:val="18"/>
                <w:szCs w:val="18"/>
                <w:highlight w:val="none"/>
                <w:lang w:val="en-US" w:eastAsia="zh-CN"/>
              </w:rPr>
              <w:t>10分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18" w:type="dxa"/>
            <w:vMerge w:val="continue"/>
            <w:vAlign w:val="center"/>
          </w:tcPr>
          <w:p>
            <w:pPr>
              <w:pStyle w:val="21"/>
              <w:ind w:firstLine="0" w:firstLineChars="0"/>
              <w:jc w:val="center"/>
              <w:rPr>
                <w:rFonts w:hint="eastAsia" w:hAnsi="宋体"/>
                <w:color w:val="auto"/>
                <w:sz w:val="18"/>
                <w:szCs w:val="18"/>
                <w:highlight w:val="none"/>
              </w:rPr>
            </w:pPr>
          </w:p>
        </w:tc>
        <w:tc>
          <w:tcPr>
            <w:tcW w:w="7513" w:type="dxa"/>
            <w:vAlign w:val="center"/>
          </w:tcPr>
          <w:p>
            <w:pPr>
              <w:jc w:val="left"/>
              <w:rPr>
                <w:rFonts w:hint="eastAsia" w:ascii="宋体" w:hAnsi="宋体"/>
                <w:color w:val="auto"/>
                <w:kern w:val="0"/>
                <w:sz w:val="18"/>
                <w:szCs w:val="18"/>
                <w:highlight w:val="none"/>
              </w:rPr>
            </w:pPr>
            <w:r>
              <w:rPr>
                <w:rFonts w:hint="eastAsia" w:ascii="宋体" w:hAnsi="宋体"/>
                <w:color w:val="auto"/>
                <w:kern w:val="0"/>
                <w:sz w:val="18"/>
                <w:szCs w:val="18"/>
                <w:highlight w:val="none"/>
              </w:rPr>
              <w:t>5.2 三个工作日内对中心提出的整改建议落实调查并反馈</w:t>
            </w:r>
          </w:p>
        </w:tc>
        <w:tc>
          <w:tcPr>
            <w:tcW w:w="691" w:type="dxa"/>
            <w:vMerge w:val="continue"/>
            <w:vAlign w:val="center"/>
          </w:tcPr>
          <w:p>
            <w:pPr>
              <w:pStyle w:val="21"/>
              <w:ind w:firstLine="0" w:firstLineChars="0"/>
              <w:jc w:val="center"/>
              <w:rPr>
                <w:rFonts w:hint="eastAsia" w:hAnsi="宋体"/>
                <w:color w:val="auto"/>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18" w:type="dxa"/>
            <w:vMerge w:val="continue"/>
            <w:vAlign w:val="center"/>
          </w:tcPr>
          <w:p>
            <w:pPr>
              <w:pStyle w:val="21"/>
              <w:ind w:firstLine="0" w:firstLineChars="0"/>
              <w:jc w:val="center"/>
              <w:rPr>
                <w:rFonts w:hint="eastAsia" w:hAnsi="宋体"/>
                <w:color w:val="auto"/>
                <w:sz w:val="18"/>
                <w:szCs w:val="18"/>
                <w:highlight w:val="none"/>
              </w:rPr>
            </w:pPr>
          </w:p>
        </w:tc>
        <w:tc>
          <w:tcPr>
            <w:tcW w:w="7513" w:type="dxa"/>
            <w:vAlign w:val="center"/>
          </w:tcPr>
          <w:p>
            <w:pPr>
              <w:jc w:val="left"/>
              <w:rPr>
                <w:rFonts w:hint="eastAsia" w:ascii="宋体" w:hAnsi="宋体"/>
                <w:color w:val="auto"/>
                <w:sz w:val="18"/>
                <w:szCs w:val="18"/>
                <w:highlight w:val="none"/>
              </w:rPr>
            </w:pPr>
            <w:r>
              <w:rPr>
                <w:rFonts w:hint="eastAsia" w:ascii="宋体" w:hAnsi="宋体"/>
                <w:color w:val="auto"/>
                <w:kern w:val="0"/>
                <w:sz w:val="18"/>
                <w:szCs w:val="18"/>
                <w:highlight w:val="none"/>
              </w:rPr>
              <w:t>5.3 每半年对本单位联动工作定期开展自查自纠并将情况上报中心</w:t>
            </w:r>
          </w:p>
        </w:tc>
        <w:tc>
          <w:tcPr>
            <w:tcW w:w="691" w:type="dxa"/>
            <w:vMerge w:val="continue"/>
            <w:vAlign w:val="center"/>
          </w:tcPr>
          <w:p>
            <w:pPr>
              <w:pStyle w:val="21"/>
              <w:ind w:firstLine="0" w:firstLineChars="0"/>
              <w:jc w:val="center"/>
              <w:rPr>
                <w:rFonts w:hint="eastAsia" w:hAnsi="宋体"/>
                <w:color w:val="auto"/>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18" w:type="dxa"/>
            <w:vAlign w:val="center"/>
          </w:tcPr>
          <w:p>
            <w:pPr>
              <w:pStyle w:val="21"/>
              <w:ind w:firstLine="0" w:firstLineChars="0"/>
              <w:jc w:val="center"/>
              <w:rPr>
                <w:rFonts w:hint="eastAsia" w:hAnsi="宋体"/>
                <w:color w:val="auto"/>
                <w:sz w:val="18"/>
                <w:szCs w:val="18"/>
                <w:highlight w:val="none"/>
              </w:rPr>
            </w:pPr>
            <w:r>
              <w:rPr>
                <w:rFonts w:hint="eastAsia" w:hAnsi="宋体"/>
                <w:color w:val="auto"/>
                <w:sz w:val="18"/>
                <w:szCs w:val="18"/>
                <w:highlight w:val="none"/>
              </w:rPr>
              <w:t>6.报送规范</w:t>
            </w:r>
          </w:p>
        </w:tc>
        <w:tc>
          <w:tcPr>
            <w:tcW w:w="7513" w:type="dxa"/>
            <w:vAlign w:val="center"/>
          </w:tcPr>
          <w:p>
            <w:pPr>
              <w:jc w:val="left"/>
              <w:rPr>
                <w:rFonts w:hint="eastAsia" w:ascii="宋体" w:hAnsi="宋体"/>
                <w:color w:val="auto"/>
                <w:kern w:val="0"/>
                <w:sz w:val="18"/>
                <w:szCs w:val="18"/>
                <w:highlight w:val="none"/>
              </w:rPr>
            </w:pPr>
            <w:r>
              <w:rPr>
                <w:rFonts w:hint="eastAsia" w:ascii="宋体" w:hAnsi="宋体"/>
                <w:color w:val="auto"/>
                <w:kern w:val="0"/>
                <w:sz w:val="18"/>
                <w:szCs w:val="18"/>
                <w:highlight w:val="none"/>
                <w:lang w:eastAsia="zh-CN"/>
              </w:rPr>
              <w:t>按要求规范报送各项材料</w:t>
            </w:r>
          </w:p>
        </w:tc>
        <w:tc>
          <w:tcPr>
            <w:tcW w:w="691" w:type="dxa"/>
            <w:vAlign w:val="center"/>
          </w:tcPr>
          <w:p>
            <w:pPr>
              <w:pStyle w:val="21"/>
              <w:ind w:firstLine="0" w:firstLineChars="0"/>
              <w:jc w:val="center"/>
              <w:rPr>
                <w:rFonts w:hint="eastAsia" w:hAnsi="宋体" w:eastAsia="宋体"/>
                <w:color w:val="auto"/>
                <w:sz w:val="18"/>
                <w:szCs w:val="18"/>
                <w:highlight w:val="none"/>
                <w:lang w:val="en-US" w:eastAsia="zh-CN"/>
              </w:rPr>
            </w:pPr>
            <w:r>
              <w:rPr>
                <w:rFonts w:hint="eastAsia" w:hAnsi="宋体"/>
                <w:color w:val="auto"/>
                <w:sz w:val="18"/>
                <w:szCs w:val="18"/>
                <w:highlight w:val="none"/>
                <w:lang w:val="en-US" w:eastAsia="zh-CN"/>
              </w:rPr>
              <w:t>10分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18" w:type="dxa"/>
            <w:vMerge w:val="restart"/>
            <w:vAlign w:val="center"/>
          </w:tcPr>
          <w:p>
            <w:pPr>
              <w:pStyle w:val="21"/>
              <w:ind w:firstLine="0" w:firstLineChars="0"/>
              <w:jc w:val="center"/>
              <w:rPr>
                <w:rFonts w:hint="eastAsia" w:hAnsi="宋体"/>
                <w:color w:val="auto"/>
                <w:sz w:val="18"/>
                <w:szCs w:val="18"/>
                <w:highlight w:val="none"/>
              </w:rPr>
            </w:pPr>
            <w:r>
              <w:rPr>
                <w:rFonts w:hint="eastAsia" w:hAnsi="宋体"/>
                <w:color w:val="auto"/>
                <w:sz w:val="18"/>
                <w:szCs w:val="18"/>
                <w:highlight w:val="none"/>
              </w:rPr>
              <w:t>6.加分项</w:t>
            </w:r>
          </w:p>
        </w:tc>
        <w:tc>
          <w:tcPr>
            <w:tcW w:w="7513" w:type="dxa"/>
            <w:vAlign w:val="center"/>
          </w:tcPr>
          <w:p>
            <w:pPr>
              <w:pStyle w:val="21"/>
              <w:ind w:firstLine="0" w:firstLineChars="0"/>
              <w:jc w:val="left"/>
              <w:rPr>
                <w:rFonts w:hint="eastAsia" w:hAnsi="宋体"/>
                <w:color w:val="auto"/>
                <w:sz w:val="18"/>
                <w:szCs w:val="18"/>
                <w:highlight w:val="none"/>
              </w:rPr>
            </w:pPr>
            <w:r>
              <w:rPr>
                <w:rFonts w:hint="eastAsia" w:hAnsi="宋体"/>
                <w:color w:val="auto"/>
                <w:sz w:val="18"/>
                <w:szCs w:val="18"/>
                <w:highlight w:val="none"/>
              </w:rPr>
              <w:t>6.1 典型案例被采纳发布</w:t>
            </w:r>
          </w:p>
        </w:tc>
        <w:tc>
          <w:tcPr>
            <w:tcW w:w="691" w:type="dxa"/>
            <w:vMerge w:val="restart"/>
            <w:vAlign w:val="center"/>
          </w:tcPr>
          <w:p>
            <w:pPr>
              <w:pStyle w:val="21"/>
              <w:ind w:firstLine="0" w:firstLineChars="0"/>
              <w:jc w:val="center"/>
              <w:rPr>
                <w:rFonts w:hint="eastAsia" w:hAnsi="宋体" w:eastAsia="宋体"/>
                <w:color w:val="auto"/>
                <w:sz w:val="18"/>
                <w:szCs w:val="18"/>
                <w:highlight w:val="none"/>
                <w:lang w:val="en-US" w:eastAsia="zh-CN"/>
              </w:rPr>
            </w:pPr>
            <w:r>
              <w:rPr>
                <w:rFonts w:hint="eastAsia" w:hAnsi="宋体"/>
                <w:color w:val="auto"/>
                <w:sz w:val="18"/>
                <w:szCs w:val="18"/>
                <w:highlight w:val="none"/>
                <w:lang w:val="en-US" w:eastAsia="zh-CN"/>
              </w:rPr>
              <w:t>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18" w:type="dxa"/>
            <w:vMerge w:val="continue"/>
            <w:vAlign w:val="center"/>
          </w:tcPr>
          <w:p>
            <w:pPr>
              <w:pStyle w:val="21"/>
              <w:ind w:firstLine="0" w:firstLineChars="0"/>
              <w:jc w:val="center"/>
              <w:rPr>
                <w:rFonts w:hint="eastAsia" w:hAnsi="宋体"/>
                <w:color w:val="auto"/>
                <w:sz w:val="18"/>
                <w:szCs w:val="18"/>
                <w:highlight w:val="none"/>
              </w:rPr>
            </w:pPr>
          </w:p>
        </w:tc>
        <w:tc>
          <w:tcPr>
            <w:tcW w:w="7513" w:type="dxa"/>
            <w:vAlign w:val="center"/>
          </w:tcPr>
          <w:p>
            <w:pPr>
              <w:pStyle w:val="21"/>
              <w:ind w:firstLine="0" w:firstLineChars="0"/>
              <w:jc w:val="left"/>
              <w:rPr>
                <w:rFonts w:hint="eastAsia" w:hAnsi="宋体"/>
                <w:color w:val="auto"/>
                <w:sz w:val="18"/>
                <w:szCs w:val="18"/>
                <w:highlight w:val="none"/>
              </w:rPr>
            </w:pPr>
            <w:r>
              <w:rPr>
                <w:rFonts w:hint="eastAsia" w:hAnsi="宋体"/>
                <w:color w:val="auto"/>
                <w:sz w:val="18"/>
                <w:szCs w:val="18"/>
                <w:highlight w:val="none"/>
              </w:rPr>
              <w:t>6.2 开展联动工作宣传活动</w:t>
            </w:r>
          </w:p>
        </w:tc>
        <w:tc>
          <w:tcPr>
            <w:tcW w:w="691" w:type="dxa"/>
            <w:vMerge w:val="continue"/>
            <w:vAlign w:val="center"/>
          </w:tcPr>
          <w:p>
            <w:pPr>
              <w:pStyle w:val="21"/>
              <w:ind w:firstLine="0" w:firstLineChars="0"/>
              <w:jc w:val="center"/>
              <w:rPr>
                <w:rFonts w:hint="eastAsia" w:hAnsi="宋体"/>
                <w:color w:val="auto"/>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18" w:type="dxa"/>
            <w:vMerge w:val="continue"/>
            <w:vAlign w:val="center"/>
          </w:tcPr>
          <w:p>
            <w:pPr>
              <w:pStyle w:val="21"/>
              <w:ind w:firstLine="0" w:firstLineChars="0"/>
              <w:jc w:val="center"/>
              <w:rPr>
                <w:rFonts w:hint="eastAsia" w:hAnsi="宋体"/>
                <w:color w:val="auto"/>
                <w:sz w:val="18"/>
                <w:szCs w:val="18"/>
                <w:highlight w:val="none"/>
              </w:rPr>
            </w:pPr>
          </w:p>
        </w:tc>
        <w:tc>
          <w:tcPr>
            <w:tcW w:w="7513" w:type="dxa"/>
            <w:vAlign w:val="center"/>
          </w:tcPr>
          <w:p>
            <w:pPr>
              <w:pStyle w:val="21"/>
              <w:ind w:firstLine="0" w:firstLineChars="0"/>
              <w:jc w:val="left"/>
              <w:rPr>
                <w:rFonts w:hint="eastAsia" w:hAnsi="宋体"/>
                <w:color w:val="auto"/>
                <w:sz w:val="18"/>
                <w:szCs w:val="18"/>
                <w:highlight w:val="none"/>
              </w:rPr>
            </w:pPr>
            <w:r>
              <w:rPr>
                <w:rFonts w:hint="eastAsia" w:hAnsi="宋体"/>
                <w:color w:val="auto"/>
                <w:sz w:val="18"/>
                <w:szCs w:val="18"/>
                <w:highlight w:val="none"/>
              </w:rPr>
              <w:t>6.3 参与联动演练（市级以上）或组织本单位开展联动演练</w:t>
            </w:r>
          </w:p>
        </w:tc>
        <w:tc>
          <w:tcPr>
            <w:tcW w:w="691" w:type="dxa"/>
            <w:vMerge w:val="continue"/>
            <w:vAlign w:val="center"/>
          </w:tcPr>
          <w:p>
            <w:pPr>
              <w:pStyle w:val="21"/>
              <w:ind w:firstLine="0" w:firstLineChars="0"/>
              <w:jc w:val="center"/>
              <w:rPr>
                <w:rFonts w:hint="eastAsia" w:hAnsi="宋体"/>
                <w:color w:val="auto"/>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18" w:type="dxa"/>
            <w:vMerge w:val="continue"/>
            <w:vAlign w:val="center"/>
          </w:tcPr>
          <w:p>
            <w:pPr>
              <w:pStyle w:val="21"/>
              <w:ind w:firstLine="0" w:firstLineChars="0"/>
              <w:jc w:val="center"/>
              <w:rPr>
                <w:rFonts w:hint="eastAsia" w:hAnsi="宋体"/>
                <w:color w:val="auto"/>
                <w:sz w:val="18"/>
                <w:szCs w:val="18"/>
                <w:highlight w:val="none"/>
              </w:rPr>
            </w:pPr>
          </w:p>
        </w:tc>
        <w:tc>
          <w:tcPr>
            <w:tcW w:w="7513" w:type="dxa"/>
            <w:vAlign w:val="center"/>
          </w:tcPr>
          <w:p>
            <w:pPr>
              <w:pStyle w:val="21"/>
              <w:ind w:firstLine="0" w:firstLineChars="0"/>
              <w:jc w:val="left"/>
              <w:rPr>
                <w:rFonts w:hint="eastAsia" w:hAnsi="宋体"/>
                <w:color w:val="auto"/>
                <w:sz w:val="18"/>
                <w:szCs w:val="18"/>
                <w:highlight w:val="none"/>
              </w:rPr>
            </w:pPr>
            <w:r>
              <w:rPr>
                <w:rFonts w:hint="eastAsia" w:hAnsi="宋体"/>
                <w:color w:val="auto"/>
                <w:sz w:val="18"/>
                <w:szCs w:val="18"/>
                <w:highlight w:val="none"/>
              </w:rPr>
              <w:t>6.4 主动将公益救援组织纳入“110”社会联动体系，并服从指挥调度</w:t>
            </w:r>
          </w:p>
        </w:tc>
        <w:tc>
          <w:tcPr>
            <w:tcW w:w="691" w:type="dxa"/>
            <w:vMerge w:val="continue"/>
            <w:vAlign w:val="center"/>
          </w:tcPr>
          <w:p>
            <w:pPr>
              <w:pStyle w:val="21"/>
              <w:ind w:firstLine="0" w:firstLineChars="0"/>
              <w:jc w:val="center"/>
              <w:rPr>
                <w:rFonts w:hint="eastAsia" w:hAnsi="宋体"/>
                <w:color w:val="auto"/>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18" w:type="dxa"/>
            <w:vMerge w:val="continue"/>
            <w:vAlign w:val="center"/>
          </w:tcPr>
          <w:p>
            <w:pPr>
              <w:pStyle w:val="21"/>
              <w:ind w:firstLine="0" w:firstLineChars="0"/>
              <w:jc w:val="center"/>
              <w:rPr>
                <w:rFonts w:hint="eastAsia" w:hAnsi="宋体"/>
                <w:color w:val="auto"/>
                <w:sz w:val="18"/>
                <w:szCs w:val="18"/>
                <w:highlight w:val="none"/>
              </w:rPr>
            </w:pPr>
          </w:p>
        </w:tc>
        <w:tc>
          <w:tcPr>
            <w:tcW w:w="7513" w:type="dxa"/>
            <w:vAlign w:val="center"/>
          </w:tcPr>
          <w:p>
            <w:pPr>
              <w:pStyle w:val="21"/>
              <w:ind w:firstLine="0" w:firstLineChars="0"/>
              <w:jc w:val="left"/>
              <w:rPr>
                <w:rFonts w:hint="eastAsia" w:hAnsi="宋体"/>
                <w:color w:val="auto"/>
                <w:sz w:val="18"/>
                <w:szCs w:val="18"/>
                <w:highlight w:val="none"/>
              </w:rPr>
            </w:pPr>
            <w:r>
              <w:rPr>
                <w:rFonts w:hint="eastAsia" w:hAnsi="宋体"/>
                <w:color w:val="auto"/>
                <w:sz w:val="18"/>
                <w:szCs w:val="18"/>
                <w:highlight w:val="none"/>
              </w:rPr>
              <w:t>6.5 协助中心完成专项任务</w:t>
            </w:r>
          </w:p>
        </w:tc>
        <w:tc>
          <w:tcPr>
            <w:tcW w:w="691" w:type="dxa"/>
            <w:vMerge w:val="continue"/>
            <w:vAlign w:val="center"/>
          </w:tcPr>
          <w:p>
            <w:pPr>
              <w:pStyle w:val="21"/>
              <w:ind w:firstLine="0" w:firstLineChars="0"/>
              <w:jc w:val="center"/>
              <w:rPr>
                <w:rFonts w:hint="eastAsia" w:hAnsi="宋体"/>
                <w:color w:val="auto"/>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18" w:type="dxa"/>
            <w:vMerge w:val="continue"/>
            <w:vAlign w:val="center"/>
          </w:tcPr>
          <w:p>
            <w:pPr>
              <w:pStyle w:val="21"/>
              <w:ind w:firstLine="0" w:firstLineChars="0"/>
              <w:jc w:val="center"/>
              <w:rPr>
                <w:rFonts w:hint="eastAsia" w:hAnsi="宋体"/>
                <w:color w:val="auto"/>
                <w:sz w:val="18"/>
                <w:szCs w:val="18"/>
                <w:highlight w:val="none"/>
              </w:rPr>
            </w:pPr>
          </w:p>
        </w:tc>
        <w:tc>
          <w:tcPr>
            <w:tcW w:w="7513" w:type="dxa"/>
            <w:vAlign w:val="center"/>
          </w:tcPr>
          <w:p>
            <w:pPr>
              <w:pStyle w:val="21"/>
              <w:ind w:firstLine="0" w:firstLineChars="0"/>
              <w:jc w:val="left"/>
              <w:rPr>
                <w:rFonts w:hint="eastAsia" w:hAnsi="宋体"/>
                <w:color w:val="auto"/>
                <w:sz w:val="18"/>
                <w:szCs w:val="18"/>
                <w:highlight w:val="none"/>
              </w:rPr>
            </w:pPr>
            <w:r>
              <w:rPr>
                <w:rFonts w:hint="eastAsia" w:hAnsi="宋体"/>
                <w:color w:val="auto"/>
                <w:sz w:val="18"/>
                <w:szCs w:val="18"/>
                <w:highlight w:val="none"/>
              </w:rPr>
              <w:t>6.6 先进工作方法或典型事迹被市级领导批示肯定或作为先进典型在市级层面推广</w:t>
            </w:r>
          </w:p>
        </w:tc>
        <w:tc>
          <w:tcPr>
            <w:tcW w:w="691" w:type="dxa"/>
            <w:vMerge w:val="continue"/>
            <w:vAlign w:val="center"/>
          </w:tcPr>
          <w:p>
            <w:pPr>
              <w:pStyle w:val="21"/>
              <w:ind w:firstLine="0" w:firstLineChars="0"/>
              <w:jc w:val="center"/>
              <w:rPr>
                <w:rFonts w:hint="eastAsia" w:hAnsi="宋体"/>
                <w:color w:val="auto"/>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18" w:type="dxa"/>
            <w:vMerge w:val="continue"/>
            <w:vAlign w:val="center"/>
          </w:tcPr>
          <w:p>
            <w:pPr>
              <w:pStyle w:val="21"/>
              <w:ind w:firstLine="0" w:firstLineChars="0"/>
              <w:jc w:val="center"/>
              <w:rPr>
                <w:rFonts w:hint="eastAsia" w:hAnsi="宋体"/>
                <w:color w:val="auto"/>
                <w:sz w:val="18"/>
                <w:szCs w:val="18"/>
                <w:highlight w:val="none"/>
              </w:rPr>
            </w:pPr>
          </w:p>
        </w:tc>
        <w:tc>
          <w:tcPr>
            <w:tcW w:w="7513" w:type="dxa"/>
            <w:vAlign w:val="center"/>
          </w:tcPr>
          <w:p>
            <w:pPr>
              <w:pStyle w:val="21"/>
              <w:ind w:firstLine="0" w:firstLineChars="0"/>
              <w:jc w:val="left"/>
              <w:rPr>
                <w:rFonts w:hint="eastAsia" w:hAnsi="宋体"/>
                <w:color w:val="auto"/>
                <w:sz w:val="18"/>
                <w:szCs w:val="18"/>
                <w:highlight w:val="none"/>
              </w:rPr>
            </w:pPr>
            <w:r>
              <w:rPr>
                <w:rFonts w:hint="eastAsia" w:hAnsi="宋体"/>
                <w:color w:val="auto"/>
                <w:sz w:val="18"/>
                <w:szCs w:val="18"/>
                <w:highlight w:val="none"/>
              </w:rPr>
              <w:t>6.7 先进工作方法或典型事迹被省级领导批示肯定或作为先进典型在市级层面推广</w:t>
            </w:r>
          </w:p>
        </w:tc>
        <w:tc>
          <w:tcPr>
            <w:tcW w:w="691" w:type="dxa"/>
            <w:vMerge w:val="continue"/>
            <w:vAlign w:val="center"/>
          </w:tcPr>
          <w:p>
            <w:pPr>
              <w:pStyle w:val="21"/>
              <w:ind w:firstLine="0" w:firstLineChars="0"/>
              <w:jc w:val="center"/>
              <w:rPr>
                <w:rFonts w:hint="eastAsia" w:hAnsi="宋体"/>
                <w:color w:val="auto"/>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18" w:type="dxa"/>
            <w:vMerge w:val="restart"/>
            <w:vAlign w:val="center"/>
          </w:tcPr>
          <w:p>
            <w:pPr>
              <w:pStyle w:val="21"/>
              <w:ind w:firstLine="0" w:firstLineChars="0"/>
              <w:jc w:val="center"/>
              <w:rPr>
                <w:rFonts w:hint="eastAsia" w:hAnsi="宋体"/>
                <w:color w:val="auto"/>
                <w:sz w:val="18"/>
                <w:szCs w:val="18"/>
                <w:highlight w:val="none"/>
              </w:rPr>
            </w:pPr>
            <w:r>
              <w:rPr>
                <w:rFonts w:hint="eastAsia" w:hAnsi="宋体"/>
                <w:color w:val="auto"/>
                <w:sz w:val="18"/>
                <w:szCs w:val="18"/>
                <w:highlight w:val="none"/>
              </w:rPr>
              <w:t>7.通报件</w:t>
            </w:r>
          </w:p>
        </w:tc>
        <w:tc>
          <w:tcPr>
            <w:tcW w:w="7513" w:type="dxa"/>
            <w:vAlign w:val="center"/>
          </w:tcPr>
          <w:p>
            <w:pPr>
              <w:pStyle w:val="21"/>
              <w:ind w:firstLine="0" w:firstLineChars="0"/>
              <w:jc w:val="left"/>
              <w:rPr>
                <w:rFonts w:hint="eastAsia" w:hAnsi="宋体"/>
                <w:color w:val="auto"/>
                <w:sz w:val="18"/>
                <w:szCs w:val="18"/>
                <w:highlight w:val="none"/>
              </w:rPr>
            </w:pPr>
            <w:r>
              <w:rPr>
                <w:rFonts w:hint="eastAsia" w:hAnsi="宋体"/>
                <w:color w:val="auto"/>
                <w:sz w:val="18"/>
                <w:szCs w:val="18"/>
                <w:highlight w:val="none"/>
              </w:rPr>
              <w:t xml:space="preserve">7.1 </w:t>
            </w:r>
            <w:r>
              <w:rPr>
                <w:rFonts w:hAnsi="宋体"/>
                <w:color w:val="auto"/>
                <w:sz w:val="18"/>
                <w:szCs w:val="18"/>
                <w:highlight w:val="none"/>
              </w:rPr>
              <w:t>联动单位处置不及时、不规范引发舆情造成负面影响</w:t>
            </w:r>
          </w:p>
        </w:tc>
        <w:tc>
          <w:tcPr>
            <w:tcW w:w="691" w:type="dxa"/>
            <w:vMerge w:val="restart"/>
            <w:vAlign w:val="center"/>
          </w:tcPr>
          <w:p>
            <w:pPr>
              <w:pStyle w:val="21"/>
              <w:ind w:firstLine="0" w:firstLineChars="0"/>
              <w:jc w:val="center"/>
              <w:rPr>
                <w:rFonts w:hint="eastAsia" w:hAnsi="宋体"/>
                <w:color w:val="auto"/>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18" w:type="dxa"/>
            <w:vMerge w:val="continue"/>
            <w:vAlign w:val="center"/>
          </w:tcPr>
          <w:p>
            <w:pPr>
              <w:pStyle w:val="21"/>
              <w:ind w:firstLine="0" w:firstLineChars="0"/>
              <w:jc w:val="center"/>
              <w:rPr>
                <w:rFonts w:hint="eastAsia" w:hAnsi="宋体"/>
                <w:color w:val="auto"/>
                <w:sz w:val="18"/>
                <w:szCs w:val="18"/>
                <w:highlight w:val="none"/>
              </w:rPr>
            </w:pPr>
          </w:p>
        </w:tc>
        <w:tc>
          <w:tcPr>
            <w:tcW w:w="7513" w:type="dxa"/>
            <w:vAlign w:val="center"/>
          </w:tcPr>
          <w:p>
            <w:pPr>
              <w:pStyle w:val="21"/>
              <w:ind w:firstLine="0" w:firstLineChars="0"/>
              <w:jc w:val="left"/>
              <w:rPr>
                <w:rFonts w:hint="eastAsia" w:hAnsi="宋体"/>
                <w:color w:val="auto"/>
                <w:sz w:val="18"/>
                <w:szCs w:val="18"/>
                <w:highlight w:val="none"/>
              </w:rPr>
            </w:pPr>
            <w:r>
              <w:rPr>
                <w:rFonts w:hint="eastAsia" w:hAnsi="宋体"/>
                <w:color w:val="auto"/>
                <w:sz w:val="18"/>
                <w:szCs w:val="18"/>
                <w:highlight w:val="none"/>
              </w:rPr>
              <w:t xml:space="preserve">7.2 </w:t>
            </w:r>
            <w:r>
              <w:rPr>
                <w:rFonts w:hAnsi="宋体"/>
                <w:color w:val="auto"/>
                <w:sz w:val="18"/>
                <w:szCs w:val="18"/>
                <w:highlight w:val="none"/>
              </w:rPr>
              <w:t>重大应急突发事件处置不及时、不规范</w:t>
            </w:r>
          </w:p>
        </w:tc>
        <w:tc>
          <w:tcPr>
            <w:tcW w:w="691" w:type="dxa"/>
            <w:vMerge w:val="continue"/>
            <w:vAlign w:val="center"/>
          </w:tcPr>
          <w:p>
            <w:pPr>
              <w:pStyle w:val="21"/>
              <w:ind w:firstLine="0" w:firstLineChars="0"/>
              <w:jc w:val="center"/>
              <w:rPr>
                <w:rFonts w:hint="eastAsia" w:hAnsi="宋体"/>
                <w:color w:val="auto"/>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18" w:type="dxa"/>
            <w:vMerge w:val="continue"/>
            <w:vAlign w:val="center"/>
          </w:tcPr>
          <w:p>
            <w:pPr>
              <w:pStyle w:val="21"/>
              <w:ind w:firstLine="0" w:firstLineChars="0"/>
              <w:jc w:val="center"/>
              <w:rPr>
                <w:rFonts w:hint="eastAsia" w:hAnsi="宋体"/>
                <w:color w:val="auto"/>
                <w:sz w:val="18"/>
                <w:szCs w:val="18"/>
                <w:highlight w:val="none"/>
              </w:rPr>
            </w:pPr>
          </w:p>
        </w:tc>
        <w:tc>
          <w:tcPr>
            <w:tcW w:w="7513" w:type="dxa"/>
            <w:vAlign w:val="center"/>
          </w:tcPr>
          <w:p>
            <w:pPr>
              <w:pStyle w:val="21"/>
              <w:ind w:firstLine="0" w:firstLineChars="0"/>
              <w:jc w:val="left"/>
              <w:rPr>
                <w:rFonts w:hint="eastAsia" w:hAnsi="宋体"/>
                <w:color w:val="auto"/>
                <w:sz w:val="18"/>
                <w:szCs w:val="18"/>
                <w:highlight w:val="none"/>
              </w:rPr>
            </w:pPr>
            <w:r>
              <w:rPr>
                <w:rFonts w:hint="eastAsia" w:hAnsi="宋体"/>
                <w:color w:val="auto"/>
                <w:sz w:val="18"/>
                <w:szCs w:val="18"/>
                <w:highlight w:val="none"/>
              </w:rPr>
              <w:t xml:space="preserve">7.3 </w:t>
            </w:r>
            <w:r>
              <w:rPr>
                <w:rFonts w:hAnsi="宋体"/>
                <w:color w:val="auto"/>
                <w:sz w:val="18"/>
                <w:szCs w:val="18"/>
                <w:highlight w:val="none"/>
              </w:rPr>
              <w:t>推诿或拒不执行中心指令</w:t>
            </w:r>
          </w:p>
        </w:tc>
        <w:tc>
          <w:tcPr>
            <w:tcW w:w="691" w:type="dxa"/>
            <w:vMerge w:val="continue"/>
            <w:vAlign w:val="center"/>
          </w:tcPr>
          <w:p>
            <w:pPr>
              <w:pStyle w:val="21"/>
              <w:ind w:firstLine="0" w:firstLineChars="0"/>
              <w:jc w:val="center"/>
              <w:rPr>
                <w:rFonts w:hint="eastAsia" w:hAnsi="宋体"/>
                <w:color w:val="auto"/>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18" w:type="dxa"/>
            <w:vMerge w:val="continue"/>
            <w:vAlign w:val="center"/>
          </w:tcPr>
          <w:p>
            <w:pPr>
              <w:pStyle w:val="21"/>
              <w:ind w:firstLine="0" w:firstLineChars="0"/>
              <w:jc w:val="center"/>
              <w:rPr>
                <w:rFonts w:hint="eastAsia" w:hAnsi="宋体"/>
                <w:color w:val="auto"/>
                <w:sz w:val="18"/>
                <w:szCs w:val="18"/>
                <w:highlight w:val="none"/>
              </w:rPr>
            </w:pPr>
          </w:p>
        </w:tc>
        <w:tc>
          <w:tcPr>
            <w:tcW w:w="7513" w:type="dxa"/>
            <w:vAlign w:val="center"/>
          </w:tcPr>
          <w:p>
            <w:pPr>
              <w:pStyle w:val="21"/>
              <w:ind w:firstLine="0" w:firstLineChars="0"/>
              <w:jc w:val="left"/>
              <w:rPr>
                <w:rFonts w:hint="eastAsia" w:hAnsi="宋体"/>
                <w:color w:val="auto"/>
                <w:sz w:val="18"/>
                <w:szCs w:val="18"/>
                <w:highlight w:val="none"/>
              </w:rPr>
            </w:pPr>
            <w:r>
              <w:rPr>
                <w:rFonts w:hint="eastAsia" w:hAnsi="宋体"/>
                <w:color w:val="auto"/>
                <w:sz w:val="18"/>
                <w:szCs w:val="18"/>
                <w:highlight w:val="none"/>
              </w:rPr>
              <w:t xml:space="preserve">7.4 </w:t>
            </w:r>
            <w:r>
              <w:rPr>
                <w:rFonts w:hAnsi="宋体"/>
                <w:color w:val="auto"/>
                <w:sz w:val="18"/>
                <w:szCs w:val="18"/>
                <w:highlight w:val="none"/>
              </w:rPr>
              <w:t>在省平安检查中被通报扣分的，加倍计算</w:t>
            </w:r>
          </w:p>
        </w:tc>
        <w:tc>
          <w:tcPr>
            <w:tcW w:w="691" w:type="dxa"/>
            <w:vMerge w:val="continue"/>
            <w:vAlign w:val="center"/>
          </w:tcPr>
          <w:p>
            <w:pPr>
              <w:pStyle w:val="21"/>
              <w:ind w:firstLine="0" w:firstLineChars="0"/>
              <w:jc w:val="center"/>
              <w:rPr>
                <w:rFonts w:hint="eastAsia" w:hAnsi="宋体"/>
                <w:color w:val="auto"/>
                <w:sz w:val="18"/>
                <w:szCs w:val="18"/>
                <w:highlight w:val="none"/>
              </w:rPr>
            </w:pPr>
          </w:p>
        </w:tc>
      </w:tr>
    </w:tbl>
    <w:p>
      <w:pPr>
        <w:pStyle w:val="30"/>
        <w:rPr>
          <w:rFonts w:hint="eastAsia"/>
          <w:color w:val="auto"/>
        </w:rPr>
      </w:pPr>
    </w:p>
    <w:p>
      <w:pPr>
        <w:pStyle w:val="31"/>
        <w:rPr>
          <w:rFonts w:hint="eastAsia"/>
          <w:color w:val="auto"/>
        </w:rPr>
      </w:pPr>
    </w:p>
    <w:p>
      <w:pPr>
        <w:pStyle w:val="32"/>
        <w:rPr>
          <w:rFonts w:hint="eastAsia"/>
          <w:color w:val="auto"/>
        </w:rPr>
      </w:pPr>
      <w:r>
        <w:rPr>
          <w:rFonts w:hint="eastAsia"/>
          <w:color w:val="auto"/>
        </w:rPr>
        <w:br w:type="textWrapping"/>
      </w:r>
      <w:r>
        <w:rPr>
          <w:rFonts w:hint="eastAsia"/>
          <w:color w:val="auto"/>
        </w:rPr>
        <w:t>（资料性附录）</w:t>
      </w:r>
      <w:r>
        <w:rPr>
          <w:rFonts w:hint="eastAsia"/>
          <w:color w:val="auto"/>
        </w:rPr>
        <w:br w:type="textWrapping"/>
      </w:r>
      <w:r>
        <w:rPr>
          <w:rFonts w:hint="eastAsia"/>
          <w:color w:val="auto"/>
        </w:rPr>
        <w:t>联动分中心考核表</w:t>
      </w:r>
    </w:p>
    <w:tbl>
      <w:tblPr>
        <w:tblStyle w:val="2"/>
        <w:tblpPr w:leftFromText="180" w:rightFromText="180" w:vertAnchor="text" w:tblpXSpec="center" w:tblpY="1"/>
        <w:tblOverlap w:val="never"/>
        <w:tblW w:w="957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48"/>
        <w:gridCol w:w="7713"/>
        <w:gridCol w:w="7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48" w:type="dxa"/>
            <w:vAlign w:val="center"/>
          </w:tcPr>
          <w:p>
            <w:pPr>
              <w:pStyle w:val="21"/>
              <w:ind w:firstLine="0" w:firstLineChars="0"/>
              <w:jc w:val="center"/>
              <w:rPr>
                <w:rFonts w:hint="eastAsia"/>
                <w:color w:val="auto"/>
                <w:sz w:val="18"/>
                <w:szCs w:val="18"/>
              </w:rPr>
            </w:pPr>
            <w:r>
              <w:rPr>
                <w:rFonts w:hint="eastAsia"/>
                <w:color w:val="auto"/>
                <w:sz w:val="18"/>
                <w:szCs w:val="18"/>
              </w:rPr>
              <w:t>考核项目</w:t>
            </w:r>
          </w:p>
        </w:tc>
        <w:tc>
          <w:tcPr>
            <w:tcW w:w="7713" w:type="dxa"/>
            <w:vAlign w:val="center"/>
          </w:tcPr>
          <w:p>
            <w:pPr>
              <w:pStyle w:val="21"/>
              <w:ind w:firstLine="0" w:firstLineChars="0"/>
              <w:jc w:val="center"/>
              <w:rPr>
                <w:rFonts w:hint="eastAsia"/>
                <w:color w:val="auto"/>
                <w:sz w:val="18"/>
                <w:szCs w:val="18"/>
              </w:rPr>
            </w:pPr>
            <w:r>
              <w:rPr>
                <w:rFonts w:hint="eastAsia"/>
                <w:color w:val="auto"/>
                <w:sz w:val="18"/>
                <w:szCs w:val="18"/>
              </w:rPr>
              <w:t>考核内容</w:t>
            </w:r>
          </w:p>
        </w:tc>
        <w:tc>
          <w:tcPr>
            <w:tcW w:w="709" w:type="dxa"/>
            <w:vAlign w:val="center"/>
          </w:tcPr>
          <w:p>
            <w:pPr>
              <w:pStyle w:val="21"/>
              <w:ind w:firstLine="0" w:firstLineChars="0"/>
              <w:jc w:val="center"/>
              <w:rPr>
                <w:rFonts w:hint="eastAsia"/>
                <w:color w:val="auto"/>
                <w:sz w:val="18"/>
                <w:szCs w:val="18"/>
              </w:rPr>
            </w:pPr>
            <w:r>
              <w:rPr>
                <w:rFonts w:hint="eastAsia"/>
                <w:color w:val="auto"/>
                <w:sz w:val="18"/>
                <w:szCs w:val="18"/>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48" w:type="dxa"/>
            <w:vMerge w:val="restart"/>
            <w:vAlign w:val="center"/>
          </w:tcPr>
          <w:p>
            <w:pPr>
              <w:jc w:val="center"/>
              <w:rPr>
                <w:rFonts w:hint="eastAsia" w:ascii="宋体" w:hAnsi="宋体"/>
                <w:color w:val="auto"/>
                <w:sz w:val="18"/>
                <w:szCs w:val="18"/>
              </w:rPr>
            </w:pPr>
            <w:r>
              <w:rPr>
                <w:rFonts w:hint="eastAsia" w:ascii="宋体" w:hAnsi="宋体"/>
                <w:bCs/>
                <w:color w:val="auto"/>
                <w:sz w:val="18"/>
                <w:szCs w:val="18"/>
              </w:rPr>
              <w:t>1.值守到位</w:t>
            </w:r>
          </w:p>
        </w:tc>
        <w:tc>
          <w:tcPr>
            <w:tcW w:w="7713" w:type="dxa"/>
            <w:vAlign w:val="center"/>
          </w:tcPr>
          <w:p>
            <w:pPr>
              <w:jc w:val="left"/>
              <w:rPr>
                <w:rFonts w:hint="eastAsia" w:ascii="宋体" w:hAnsi="宋体"/>
                <w:color w:val="auto"/>
                <w:sz w:val="18"/>
                <w:szCs w:val="18"/>
              </w:rPr>
            </w:pPr>
            <w:r>
              <w:rPr>
                <w:rFonts w:hint="eastAsia" w:ascii="宋体" w:hAnsi="宋体"/>
                <w:color w:val="auto"/>
                <w:sz w:val="18"/>
                <w:szCs w:val="18"/>
              </w:rPr>
              <w:t>1.1 建立、落实值班出勤和三定制度</w:t>
            </w:r>
          </w:p>
        </w:tc>
        <w:tc>
          <w:tcPr>
            <w:tcW w:w="709" w:type="dxa"/>
            <w:vMerge w:val="restart"/>
            <w:vAlign w:val="center"/>
          </w:tcPr>
          <w:p>
            <w:pPr>
              <w:pStyle w:val="21"/>
              <w:ind w:firstLine="0" w:firstLineChars="0"/>
              <w:jc w:val="center"/>
              <w:rPr>
                <w:rFonts w:hint="eastAsia" w:hAnsi="宋体" w:eastAsia="宋体"/>
                <w:color w:val="auto"/>
                <w:sz w:val="18"/>
                <w:szCs w:val="18"/>
                <w:lang w:val="en-US" w:eastAsia="zh-CN"/>
              </w:rPr>
            </w:pPr>
            <w:r>
              <w:rPr>
                <w:rFonts w:hint="eastAsia" w:hAnsi="宋体"/>
                <w:color w:val="auto"/>
                <w:sz w:val="18"/>
                <w:szCs w:val="18"/>
                <w:lang w:val="en-US" w:eastAsia="zh-CN"/>
              </w:rPr>
              <w:t>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48" w:type="dxa"/>
            <w:vMerge w:val="continue"/>
            <w:vAlign w:val="center"/>
          </w:tcPr>
          <w:p>
            <w:pPr>
              <w:pStyle w:val="21"/>
              <w:ind w:firstLine="0" w:firstLineChars="0"/>
              <w:jc w:val="center"/>
              <w:rPr>
                <w:rFonts w:hint="eastAsia" w:hAnsi="宋体"/>
                <w:color w:val="auto"/>
                <w:sz w:val="18"/>
                <w:szCs w:val="18"/>
              </w:rPr>
            </w:pPr>
          </w:p>
        </w:tc>
        <w:tc>
          <w:tcPr>
            <w:tcW w:w="7713" w:type="dxa"/>
            <w:vAlign w:val="center"/>
          </w:tcPr>
          <w:p>
            <w:pPr>
              <w:jc w:val="left"/>
              <w:rPr>
                <w:rFonts w:hint="eastAsia" w:ascii="宋体" w:hAnsi="宋体"/>
                <w:color w:val="auto"/>
                <w:sz w:val="18"/>
                <w:szCs w:val="18"/>
              </w:rPr>
            </w:pPr>
            <w:r>
              <w:rPr>
                <w:rFonts w:hint="eastAsia" w:ascii="宋体" w:hAnsi="宋体"/>
                <w:color w:val="auto"/>
                <w:sz w:val="18"/>
                <w:szCs w:val="18"/>
              </w:rPr>
              <w:t>1.2 不得出现值班电话无人接听、值班人员联系不上或对讲机无人应答等情况</w:t>
            </w:r>
          </w:p>
        </w:tc>
        <w:tc>
          <w:tcPr>
            <w:tcW w:w="709" w:type="dxa"/>
            <w:vMerge w:val="continue"/>
            <w:vAlign w:val="center"/>
          </w:tcPr>
          <w:p>
            <w:pPr>
              <w:pStyle w:val="21"/>
              <w:ind w:firstLine="0" w:firstLineChars="0"/>
              <w:jc w:val="center"/>
              <w:rPr>
                <w:rFonts w:hint="eastAsia" w:hAnsi="宋体"/>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48" w:type="dxa"/>
            <w:vMerge w:val="continue"/>
            <w:vAlign w:val="center"/>
          </w:tcPr>
          <w:p>
            <w:pPr>
              <w:pStyle w:val="21"/>
              <w:ind w:firstLine="0" w:firstLineChars="0"/>
              <w:jc w:val="center"/>
              <w:rPr>
                <w:rFonts w:hint="eastAsia" w:hAnsi="宋体"/>
                <w:color w:val="auto"/>
                <w:sz w:val="18"/>
                <w:szCs w:val="18"/>
              </w:rPr>
            </w:pPr>
          </w:p>
        </w:tc>
        <w:tc>
          <w:tcPr>
            <w:tcW w:w="7713" w:type="dxa"/>
            <w:vAlign w:val="center"/>
          </w:tcPr>
          <w:p>
            <w:pPr>
              <w:jc w:val="left"/>
              <w:rPr>
                <w:rFonts w:hint="eastAsia" w:ascii="宋体" w:hAnsi="宋体"/>
                <w:color w:val="auto"/>
                <w:sz w:val="18"/>
                <w:szCs w:val="18"/>
              </w:rPr>
            </w:pPr>
            <w:r>
              <w:rPr>
                <w:rFonts w:hint="eastAsia" w:ascii="宋体" w:hAnsi="宋体"/>
                <w:color w:val="auto"/>
                <w:sz w:val="18"/>
                <w:szCs w:val="18"/>
              </w:rPr>
              <w:t>1.3 值班人员、电话、地址等信息变更及时向中心报备</w:t>
            </w:r>
          </w:p>
        </w:tc>
        <w:tc>
          <w:tcPr>
            <w:tcW w:w="709" w:type="dxa"/>
            <w:vMerge w:val="continue"/>
            <w:vAlign w:val="center"/>
          </w:tcPr>
          <w:p>
            <w:pPr>
              <w:pStyle w:val="21"/>
              <w:ind w:firstLine="0" w:firstLineChars="0"/>
              <w:jc w:val="center"/>
              <w:rPr>
                <w:rFonts w:hint="eastAsia" w:hAnsi="宋体"/>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48" w:type="dxa"/>
            <w:vMerge w:val="continue"/>
            <w:vAlign w:val="center"/>
          </w:tcPr>
          <w:p>
            <w:pPr>
              <w:pStyle w:val="21"/>
              <w:ind w:firstLine="0" w:firstLineChars="0"/>
              <w:jc w:val="center"/>
              <w:rPr>
                <w:rFonts w:hint="eastAsia" w:hAnsi="宋体"/>
                <w:color w:val="auto"/>
                <w:sz w:val="18"/>
                <w:szCs w:val="18"/>
              </w:rPr>
            </w:pPr>
          </w:p>
        </w:tc>
        <w:tc>
          <w:tcPr>
            <w:tcW w:w="7713" w:type="dxa"/>
            <w:vAlign w:val="center"/>
          </w:tcPr>
          <w:p>
            <w:pPr>
              <w:jc w:val="left"/>
              <w:rPr>
                <w:rFonts w:hint="eastAsia" w:ascii="宋体" w:hAnsi="宋体"/>
                <w:color w:val="auto"/>
                <w:sz w:val="18"/>
                <w:szCs w:val="18"/>
              </w:rPr>
            </w:pPr>
            <w:r>
              <w:rPr>
                <w:rFonts w:hint="eastAsia" w:ascii="宋体" w:hAnsi="宋体"/>
                <w:color w:val="auto"/>
                <w:sz w:val="18"/>
                <w:szCs w:val="18"/>
              </w:rPr>
              <w:t>1.4 配备专人值守和维护联动平台值守电脑、对讲机、值班电话等设备</w:t>
            </w:r>
          </w:p>
        </w:tc>
        <w:tc>
          <w:tcPr>
            <w:tcW w:w="709" w:type="dxa"/>
            <w:vMerge w:val="continue"/>
            <w:vAlign w:val="center"/>
          </w:tcPr>
          <w:p>
            <w:pPr>
              <w:pStyle w:val="21"/>
              <w:ind w:firstLine="0" w:firstLineChars="0"/>
              <w:jc w:val="center"/>
              <w:rPr>
                <w:rFonts w:hint="eastAsia" w:hAnsi="宋体"/>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 w:hRule="atLeast"/>
        </w:trPr>
        <w:tc>
          <w:tcPr>
            <w:tcW w:w="1148" w:type="dxa"/>
            <w:vMerge w:val="continue"/>
            <w:vAlign w:val="center"/>
          </w:tcPr>
          <w:p>
            <w:pPr>
              <w:pStyle w:val="21"/>
              <w:ind w:firstLine="0" w:firstLineChars="0"/>
              <w:jc w:val="center"/>
              <w:rPr>
                <w:rFonts w:hint="eastAsia" w:hAnsi="宋体"/>
                <w:color w:val="auto"/>
                <w:sz w:val="18"/>
                <w:szCs w:val="18"/>
              </w:rPr>
            </w:pPr>
          </w:p>
        </w:tc>
        <w:tc>
          <w:tcPr>
            <w:tcW w:w="7713" w:type="dxa"/>
            <w:vAlign w:val="center"/>
          </w:tcPr>
          <w:p>
            <w:pPr>
              <w:jc w:val="left"/>
              <w:rPr>
                <w:rFonts w:hint="eastAsia" w:ascii="宋体" w:hAnsi="宋体"/>
                <w:color w:val="auto"/>
                <w:sz w:val="18"/>
                <w:szCs w:val="18"/>
              </w:rPr>
            </w:pPr>
            <w:r>
              <w:rPr>
                <w:rFonts w:hint="eastAsia" w:ascii="宋体" w:hAnsi="宋体"/>
                <w:color w:val="auto"/>
                <w:sz w:val="18"/>
                <w:szCs w:val="18"/>
              </w:rPr>
              <w:t>1.5 设备发生故障，及时报备</w:t>
            </w:r>
          </w:p>
        </w:tc>
        <w:tc>
          <w:tcPr>
            <w:tcW w:w="709" w:type="dxa"/>
            <w:vMerge w:val="continue"/>
            <w:vAlign w:val="center"/>
          </w:tcPr>
          <w:p>
            <w:pPr>
              <w:pStyle w:val="21"/>
              <w:ind w:firstLine="0" w:firstLineChars="0"/>
              <w:jc w:val="center"/>
              <w:rPr>
                <w:rFonts w:hint="eastAsia" w:hAnsi="宋体"/>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48" w:type="dxa"/>
            <w:vMerge w:val="continue"/>
            <w:vAlign w:val="center"/>
          </w:tcPr>
          <w:p>
            <w:pPr>
              <w:pStyle w:val="21"/>
              <w:ind w:firstLine="0" w:firstLineChars="0"/>
              <w:jc w:val="center"/>
              <w:rPr>
                <w:rFonts w:hint="eastAsia" w:hAnsi="宋体"/>
                <w:color w:val="auto"/>
                <w:sz w:val="18"/>
                <w:szCs w:val="18"/>
              </w:rPr>
            </w:pPr>
          </w:p>
        </w:tc>
        <w:tc>
          <w:tcPr>
            <w:tcW w:w="7713" w:type="dxa"/>
            <w:vAlign w:val="center"/>
          </w:tcPr>
          <w:p>
            <w:pPr>
              <w:jc w:val="left"/>
              <w:rPr>
                <w:rFonts w:hint="eastAsia" w:ascii="宋体" w:hAnsi="宋体"/>
                <w:color w:val="auto"/>
                <w:sz w:val="18"/>
                <w:szCs w:val="18"/>
              </w:rPr>
            </w:pPr>
            <w:r>
              <w:rPr>
                <w:rFonts w:hint="eastAsia" w:ascii="宋体" w:hAnsi="宋体"/>
                <w:color w:val="auto"/>
                <w:sz w:val="18"/>
                <w:szCs w:val="18"/>
              </w:rPr>
              <w:t>1.6 启用战时联动专班集中办公模式并无条件服从中心指令</w:t>
            </w:r>
          </w:p>
        </w:tc>
        <w:tc>
          <w:tcPr>
            <w:tcW w:w="709" w:type="dxa"/>
            <w:vMerge w:val="continue"/>
            <w:vAlign w:val="center"/>
          </w:tcPr>
          <w:p>
            <w:pPr>
              <w:pStyle w:val="21"/>
              <w:ind w:firstLine="0" w:firstLineChars="0"/>
              <w:jc w:val="center"/>
              <w:rPr>
                <w:rFonts w:hint="eastAsia" w:hAnsi="宋体"/>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48" w:type="dxa"/>
            <w:vMerge w:val="restart"/>
            <w:vAlign w:val="center"/>
          </w:tcPr>
          <w:p>
            <w:pPr>
              <w:pStyle w:val="21"/>
              <w:ind w:firstLine="0" w:firstLineChars="0"/>
              <w:jc w:val="center"/>
              <w:rPr>
                <w:rFonts w:hint="eastAsia" w:hAnsi="宋体"/>
                <w:color w:val="auto"/>
                <w:sz w:val="18"/>
                <w:szCs w:val="18"/>
              </w:rPr>
            </w:pPr>
            <w:r>
              <w:rPr>
                <w:rFonts w:hint="eastAsia" w:hAnsi="宋体"/>
                <w:color w:val="auto"/>
                <w:sz w:val="18"/>
                <w:szCs w:val="18"/>
              </w:rPr>
              <w:t>2.及时签收</w:t>
            </w:r>
          </w:p>
        </w:tc>
        <w:tc>
          <w:tcPr>
            <w:tcW w:w="7713" w:type="dxa"/>
            <w:vAlign w:val="center"/>
          </w:tcPr>
          <w:p>
            <w:pPr>
              <w:jc w:val="left"/>
              <w:rPr>
                <w:rFonts w:hint="eastAsia" w:ascii="宋体" w:hAnsi="宋体"/>
                <w:color w:val="auto"/>
                <w:sz w:val="18"/>
                <w:szCs w:val="18"/>
              </w:rPr>
            </w:pPr>
            <w:r>
              <w:rPr>
                <w:rFonts w:hint="eastAsia" w:ascii="宋体" w:hAnsi="宋体"/>
                <w:color w:val="auto"/>
                <w:sz w:val="18"/>
                <w:szCs w:val="18"/>
              </w:rPr>
              <w:t>2.1 应在中心指令下发后5分钟内完成平台签收</w:t>
            </w:r>
          </w:p>
        </w:tc>
        <w:tc>
          <w:tcPr>
            <w:tcW w:w="709" w:type="dxa"/>
            <w:vMerge w:val="restart"/>
            <w:vAlign w:val="center"/>
          </w:tcPr>
          <w:p>
            <w:pPr>
              <w:pStyle w:val="21"/>
              <w:ind w:firstLine="0" w:firstLineChars="0"/>
              <w:jc w:val="center"/>
              <w:rPr>
                <w:rFonts w:hint="eastAsia" w:hAnsi="宋体" w:eastAsia="宋体"/>
                <w:color w:val="auto"/>
                <w:sz w:val="18"/>
                <w:szCs w:val="18"/>
                <w:highlight w:val="yellow"/>
                <w:lang w:val="en-US" w:eastAsia="zh-CN"/>
              </w:rPr>
            </w:pPr>
            <w:r>
              <w:rPr>
                <w:rFonts w:hint="eastAsia" w:hAnsi="宋体"/>
                <w:color w:val="auto"/>
                <w:sz w:val="18"/>
                <w:szCs w:val="18"/>
                <w:highlight w:val="none"/>
                <w:lang w:val="en-US" w:eastAsia="zh-CN"/>
              </w:rPr>
              <w:t>10分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48" w:type="dxa"/>
            <w:vMerge w:val="continue"/>
            <w:vAlign w:val="center"/>
          </w:tcPr>
          <w:p>
            <w:pPr>
              <w:pStyle w:val="21"/>
              <w:ind w:firstLine="0" w:firstLineChars="0"/>
              <w:jc w:val="center"/>
              <w:rPr>
                <w:rFonts w:hint="eastAsia" w:hAnsi="宋体"/>
                <w:color w:val="auto"/>
                <w:sz w:val="18"/>
                <w:szCs w:val="18"/>
                <w:highlight w:val="yellow"/>
              </w:rPr>
            </w:pPr>
          </w:p>
        </w:tc>
        <w:tc>
          <w:tcPr>
            <w:tcW w:w="7713" w:type="dxa"/>
            <w:vAlign w:val="center"/>
          </w:tcPr>
          <w:p>
            <w:pPr>
              <w:jc w:val="left"/>
              <w:rPr>
                <w:rFonts w:hint="eastAsia" w:ascii="宋体" w:hAnsi="宋体"/>
                <w:color w:val="auto"/>
                <w:sz w:val="18"/>
                <w:szCs w:val="18"/>
              </w:rPr>
            </w:pPr>
            <w:r>
              <w:rPr>
                <w:rFonts w:hint="eastAsia" w:ascii="宋体" w:hAnsi="宋体"/>
                <w:color w:val="auto"/>
                <w:sz w:val="18"/>
                <w:szCs w:val="18"/>
              </w:rPr>
              <w:t>2.2 遇设备故障应在发生故障后10分钟内通过电话或对讲机向中心报备，并在2小时候内完成设备维修</w:t>
            </w:r>
          </w:p>
        </w:tc>
        <w:tc>
          <w:tcPr>
            <w:tcW w:w="709" w:type="dxa"/>
            <w:vMerge w:val="continue"/>
            <w:vAlign w:val="center"/>
          </w:tcPr>
          <w:p>
            <w:pPr>
              <w:pStyle w:val="21"/>
              <w:ind w:firstLine="0" w:firstLineChars="0"/>
              <w:jc w:val="center"/>
              <w:rPr>
                <w:rFonts w:hint="eastAsia" w:hAnsi="宋体"/>
                <w:color w:val="auto"/>
                <w:sz w:val="18"/>
                <w:szCs w:val="18"/>
                <w:highlight w:val="yello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48" w:type="dxa"/>
            <w:vMerge w:val="restart"/>
            <w:vAlign w:val="center"/>
          </w:tcPr>
          <w:p>
            <w:pPr>
              <w:pStyle w:val="21"/>
              <w:ind w:firstLine="0" w:firstLineChars="0"/>
              <w:jc w:val="center"/>
              <w:rPr>
                <w:rFonts w:hint="eastAsia" w:hAnsi="宋体"/>
                <w:color w:val="auto"/>
                <w:sz w:val="18"/>
                <w:szCs w:val="18"/>
              </w:rPr>
            </w:pPr>
            <w:r>
              <w:rPr>
                <w:rFonts w:hint="eastAsia" w:hAnsi="宋体"/>
                <w:color w:val="auto"/>
                <w:sz w:val="18"/>
                <w:szCs w:val="18"/>
              </w:rPr>
              <w:t>3.处置规范</w:t>
            </w:r>
          </w:p>
        </w:tc>
        <w:tc>
          <w:tcPr>
            <w:tcW w:w="7713" w:type="dxa"/>
            <w:vAlign w:val="center"/>
          </w:tcPr>
          <w:p>
            <w:pPr>
              <w:jc w:val="left"/>
              <w:rPr>
                <w:rFonts w:hint="eastAsia" w:ascii="宋体" w:hAnsi="宋体"/>
                <w:color w:val="auto"/>
                <w:sz w:val="18"/>
                <w:szCs w:val="18"/>
              </w:rPr>
            </w:pPr>
            <w:r>
              <w:rPr>
                <w:rFonts w:hint="eastAsia" w:ascii="宋体" w:hAnsi="宋体"/>
                <w:color w:val="auto"/>
                <w:sz w:val="18"/>
                <w:szCs w:val="18"/>
              </w:rPr>
              <w:t>3.1 处置人员应主动介入事件处置，并按要求做好音、视频记录或书面登记</w:t>
            </w:r>
          </w:p>
        </w:tc>
        <w:tc>
          <w:tcPr>
            <w:tcW w:w="709" w:type="dxa"/>
            <w:vMerge w:val="restart"/>
            <w:vAlign w:val="center"/>
          </w:tcPr>
          <w:p>
            <w:pPr>
              <w:pStyle w:val="21"/>
              <w:ind w:firstLine="0" w:firstLineChars="0"/>
              <w:jc w:val="center"/>
              <w:rPr>
                <w:rFonts w:hint="eastAsia" w:hAnsi="宋体" w:eastAsia="宋体"/>
                <w:color w:val="auto"/>
                <w:kern w:val="2"/>
                <w:sz w:val="18"/>
                <w:szCs w:val="18"/>
                <w:lang w:val="en-US" w:eastAsia="zh-CN"/>
              </w:rPr>
            </w:pPr>
            <w:r>
              <w:rPr>
                <w:rFonts w:hint="eastAsia" w:hAnsi="宋体"/>
                <w:color w:val="auto"/>
                <w:kern w:val="2"/>
                <w:sz w:val="18"/>
                <w:szCs w:val="18"/>
                <w:lang w:val="en-US" w:eastAsia="zh-CN"/>
              </w:rPr>
              <w:t>30分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48" w:type="dxa"/>
            <w:vMerge w:val="continue"/>
            <w:vAlign w:val="center"/>
          </w:tcPr>
          <w:p>
            <w:pPr>
              <w:pStyle w:val="21"/>
              <w:ind w:firstLine="0" w:firstLineChars="0"/>
              <w:jc w:val="center"/>
              <w:rPr>
                <w:rFonts w:hint="eastAsia" w:hAnsi="宋体"/>
                <w:color w:val="auto"/>
                <w:sz w:val="18"/>
                <w:szCs w:val="18"/>
              </w:rPr>
            </w:pPr>
          </w:p>
        </w:tc>
        <w:tc>
          <w:tcPr>
            <w:tcW w:w="7713" w:type="dxa"/>
            <w:vAlign w:val="center"/>
          </w:tcPr>
          <w:p>
            <w:pPr>
              <w:jc w:val="left"/>
              <w:rPr>
                <w:rFonts w:hint="eastAsia" w:ascii="宋体" w:hAnsi="宋体"/>
                <w:color w:val="auto"/>
                <w:sz w:val="18"/>
                <w:szCs w:val="18"/>
              </w:rPr>
            </w:pPr>
            <w:r>
              <w:rPr>
                <w:rFonts w:hint="eastAsia" w:ascii="宋体" w:hAnsi="宋体"/>
                <w:color w:val="auto"/>
                <w:sz w:val="18"/>
                <w:szCs w:val="18"/>
              </w:rPr>
              <w:t>3.2 对一时性质不清、职责交叉、区域不明的事件，按照“先处置、后移交”的原则，现行处置</w:t>
            </w:r>
          </w:p>
        </w:tc>
        <w:tc>
          <w:tcPr>
            <w:tcW w:w="709" w:type="dxa"/>
            <w:vMerge w:val="continue"/>
            <w:vAlign w:val="center"/>
          </w:tcPr>
          <w:p>
            <w:pPr>
              <w:pStyle w:val="21"/>
              <w:ind w:firstLine="0" w:firstLineChars="0"/>
              <w:jc w:val="center"/>
              <w:rPr>
                <w:rFonts w:hint="eastAsia" w:hAnsi="宋体"/>
                <w:color w:val="auto"/>
                <w:kern w:val="2"/>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48" w:type="dxa"/>
            <w:vMerge w:val="continue"/>
            <w:vAlign w:val="center"/>
          </w:tcPr>
          <w:p>
            <w:pPr>
              <w:pStyle w:val="21"/>
              <w:ind w:firstLine="0" w:firstLineChars="0"/>
              <w:jc w:val="center"/>
              <w:rPr>
                <w:rFonts w:hint="eastAsia" w:hAnsi="宋体"/>
                <w:color w:val="auto"/>
                <w:sz w:val="18"/>
                <w:szCs w:val="18"/>
              </w:rPr>
            </w:pPr>
          </w:p>
        </w:tc>
        <w:tc>
          <w:tcPr>
            <w:tcW w:w="7713" w:type="dxa"/>
            <w:vAlign w:val="center"/>
          </w:tcPr>
          <w:p>
            <w:pPr>
              <w:jc w:val="left"/>
              <w:rPr>
                <w:rFonts w:hint="eastAsia" w:ascii="宋体" w:hAnsi="宋体"/>
                <w:color w:val="auto"/>
                <w:sz w:val="18"/>
                <w:szCs w:val="18"/>
              </w:rPr>
            </w:pPr>
            <w:r>
              <w:rPr>
                <w:rFonts w:hint="eastAsia" w:ascii="宋体" w:hAnsi="宋体"/>
                <w:color w:val="auto"/>
                <w:sz w:val="18"/>
                <w:szCs w:val="18"/>
              </w:rPr>
              <w:t>3.3 应及时督导、落实区、县（市）本条线处置力量规范开展处置工作，全程跟踪事件处置并做好指导、协调及增援等工作</w:t>
            </w:r>
          </w:p>
        </w:tc>
        <w:tc>
          <w:tcPr>
            <w:tcW w:w="709" w:type="dxa"/>
            <w:vMerge w:val="continue"/>
            <w:vAlign w:val="center"/>
          </w:tcPr>
          <w:p>
            <w:pPr>
              <w:pStyle w:val="21"/>
              <w:ind w:firstLine="0" w:firstLineChars="0"/>
              <w:jc w:val="center"/>
              <w:rPr>
                <w:rFonts w:hint="eastAsia" w:hAnsi="宋体"/>
                <w:color w:val="auto"/>
                <w:kern w:val="2"/>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48" w:type="dxa"/>
            <w:vMerge w:val="restart"/>
            <w:vAlign w:val="center"/>
          </w:tcPr>
          <w:p>
            <w:pPr>
              <w:pStyle w:val="21"/>
              <w:ind w:firstLine="0" w:firstLineChars="0"/>
              <w:jc w:val="center"/>
              <w:rPr>
                <w:rFonts w:hint="eastAsia" w:hAnsi="宋体"/>
                <w:color w:val="auto"/>
                <w:sz w:val="18"/>
                <w:szCs w:val="18"/>
              </w:rPr>
            </w:pPr>
            <w:r>
              <w:rPr>
                <w:rFonts w:hint="eastAsia" w:hAnsi="宋体"/>
                <w:color w:val="auto"/>
                <w:sz w:val="18"/>
                <w:szCs w:val="18"/>
              </w:rPr>
              <w:t>4.反馈处结</w:t>
            </w:r>
          </w:p>
        </w:tc>
        <w:tc>
          <w:tcPr>
            <w:tcW w:w="7713" w:type="dxa"/>
            <w:vAlign w:val="center"/>
          </w:tcPr>
          <w:p>
            <w:pPr>
              <w:jc w:val="left"/>
              <w:rPr>
                <w:rFonts w:hint="eastAsia" w:ascii="宋体" w:hAnsi="宋体"/>
                <w:color w:val="auto"/>
                <w:sz w:val="18"/>
                <w:szCs w:val="18"/>
              </w:rPr>
            </w:pPr>
            <w:r>
              <w:rPr>
                <w:rFonts w:hint="eastAsia" w:ascii="宋体" w:hAnsi="宋体"/>
                <w:color w:val="auto"/>
                <w:sz w:val="18"/>
                <w:szCs w:val="18"/>
              </w:rPr>
              <w:t>4.1 应在指令下达1小时候内完成初次反馈，24小时内反馈处理结果</w:t>
            </w:r>
          </w:p>
        </w:tc>
        <w:tc>
          <w:tcPr>
            <w:tcW w:w="709" w:type="dxa"/>
            <w:vMerge w:val="restart"/>
            <w:vAlign w:val="center"/>
          </w:tcPr>
          <w:p>
            <w:pPr>
              <w:pStyle w:val="21"/>
              <w:ind w:firstLine="0" w:firstLineChars="0"/>
              <w:jc w:val="center"/>
              <w:rPr>
                <w:rFonts w:hint="eastAsia" w:hAnsi="宋体" w:eastAsia="宋体"/>
                <w:color w:val="auto"/>
                <w:sz w:val="18"/>
                <w:szCs w:val="18"/>
                <w:lang w:val="en-US" w:eastAsia="zh-CN"/>
              </w:rPr>
            </w:pPr>
            <w:r>
              <w:rPr>
                <w:rFonts w:hint="eastAsia" w:hAnsi="宋体"/>
                <w:color w:val="auto"/>
                <w:sz w:val="18"/>
                <w:szCs w:val="18"/>
                <w:lang w:val="en-US" w:eastAsia="zh-CN"/>
              </w:rPr>
              <w:t>30分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48" w:type="dxa"/>
            <w:vMerge w:val="continue"/>
            <w:vAlign w:val="center"/>
          </w:tcPr>
          <w:p>
            <w:pPr>
              <w:pStyle w:val="21"/>
              <w:ind w:firstLine="0" w:firstLineChars="0"/>
              <w:jc w:val="center"/>
              <w:rPr>
                <w:rFonts w:hint="eastAsia" w:hAnsi="宋体"/>
                <w:color w:val="auto"/>
                <w:sz w:val="18"/>
                <w:szCs w:val="18"/>
              </w:rPr>
            </w:pPr>
          </w:p>
        </w:tc>
        <w:tc>
          <w:tcPr>
            <w:tcW w:w="7713" w:type="dxa"/>
            <w:vAlign w:val="center"/>
          </w:tcPr>
          <w:p>
            <w:pPr>
              <w:jc w:val="left"/>
              <w:rPr>
                <w:rFonts w:hint="eastAsia" w:ascii="宋体" w:hAnsi="宋体"/>
                <w:color w:val="auto"/>
                <w:sz w:val="18"/>
                <w:szCs w:val="18"/>
              </w:rPr>
            </w:pPr>
            <w:r>
              <w:rPr>
                <w:rFonts w:hint="eastAsia" w:ascii="宋体" w:hAnsi="宋体"/>
                <w:color w:val="auto"/>
                <w:sz w:val="18"/>
                <w:szCs w:val="18"/>
              </w:rPr>
              <w:t>4.2 遇重大应急突发事件，应在规定到达时间内向中心电话反馈处置人员及联系方式，到达现场后实时反馈现场情况等信息</w:t>
            </w:r>
          </w:p>
        </w:tc>
        <w:tc>
          <w:tcPr>
            <w:tcW w:w="709" w:type="dxa"/>
            <w:vMerge w:val="continue"/>
            <w:vAlign w:val="center"/>
          </w:tcPr>
          <w:p>
            <w:pPr>
              <w:pStyle w:val="21"/>
              <w:ind w:firstLine="0" w:firstLineChars="0"/>
              <w:jc w:val="center"/>
              <w:rPr>
                <w:rFonts w:hint="eastAsia" w:hAnsi="宋体"/>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48" w:type="dxa"/>
            <w:vMerge w:val="continue"/>
            <w:vAlign w:val="center"/>
          </w:tcPr>
          <w:p>
            <w:pPr>
              <w:pStyle w:val="21"/>
              <w:ind w:firstLine="0" w:firstLineChars="0"/>
              <w:jc w:val="center"/>
              <w:rPr>
                <w:rFonts w:hint="eastAsia" w:hAnsi="宋体"/>
                <w:color w:val="auto"/>
                <w:sz w:val="18"/>
                <w:szCs w:val="18"/>
              </w:rPr>
            </w:pPr>
          </w:p>
        </w:tc>
        <w:tc>
          <w:tcPr>
            <w:tcW w:w="7713" w:type="dxa"/>
            <w:vAlign w:val="center"/>
          </w:tcPr>
          <w:p>
            <w:pPr>
              <w:jc w:val="left"/>
              <w:rPr>
                <w:rFonts w:hint="eastAsia" w:ascii="宋体" w:hAnsi="宋体"/>
                <w:color w:val="auto"/>
                <w:sz w:val="18"/>
                <w:szCs w:val="18"/>
              </w:rPr>
            </w:pPr>
            <w:r>
              <w:rPr>
                <w:rFonts w:hint="eastAsia" w:ascii="宋体" w:hAnsi="宋体"/>
                <w:color w:val="auto"/>
                <w:sz w:val="18"/>
                <w:szCs w:val="18"/>
              </w:rPr>
              <w:t>4.3 初次反馈内容应包含处置部门、人员、到场时间、现场情况等信息；处理结果应包含发生时间、地址、事件类别、类型、简要情况及处理情况、经办人等信息</w:t>
            </w:r>
          </w:p>
        </w:tc>
        <w:tc>
          <w:tcPr>
            <w:tcW w:w="709" w:type="dxa"/>
            <w:vMerge w:val="continue"/>
            <w:vAlign w:val="center"/>
          </w:tcPr>
          <w:p>
            <w:pPr>
              <w:pStyle w:val="21"/>
              <w:ind w:firstLine="0" w:firstLineChars="0"/>
              <w:jc w:val="center"/>
              <w:rPr>
                <w:rFonts w:hint="eastAsia" w:hAnsi="宋体"/>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48" w:type="dxa"/>
            <w:vMerge w:val="restart"/>
            <w:vAlign w:val="center"/>
          </w:tcPr>
          <w:p>
            <w:pPr>
              <w:pStyle w:val="21"/>
              <w:ind w:firstLine="0" w:firstLineChars="0"/>
              <w:jc w:val="center"/>
              <w:rPr>
                <w:rFonts w:hint="eastAsia" w:hAnsi="宋体"/>
                <w:color w:val="auto"/>
                <w:sz w:val="18"/>
                <w:szCs w:val="18"/>
              </w:rPr>
            </w:pPr>
            <w:r>
              <w:rPr>
                <w:rFonts w:hint="eastAsia" w:hAnsi="宋体"/>
                <w:color w:val="auto"/>
                <w:sz w:val="18"/>
                <w:szCs w:val="18"/>
              </w:rPr>
              <w:t>5.整改落实</w:t>
            </w:r>
          </w:p>
        </w:tc>
        <w:tc>
          <w:tcPr>
            <w:tcW w:w="7713" w:type="dxa"/>
            <w:vAlign w:val="center"/>
          </w:tcPr>
          <w:p>
            <w:pPr>
              <w:pStyle w:val="21"/>
              <w:ind w:firstLine="0" w:firstLineChars="0"/>
              <w:jc w:val="left"/>
              <w:rPr>
                <w:rFonts w:hint="eastAsia" w:hAnsi="宋体"/>
                <w:color w:val="auto"/>
                <w:sz w:val="18"/>
                <w:szCs w:val="18"/>
              </w:rPr>
            </w:pPr>
            <w:r>
              <w:rPr>
                <w:rFonts w:hint="eastAsia" w:hAnsi="宋体"/>
                <w:color w:val="auto"/>
                <w:sz w:val="18"/>
                <w:szCs w:val="18"/>
              </w:rPr>
              <w:t>5.1 及时上报人才库人员名单</w:t>
            </w:r>
          </w:p>
        </w:tc>
        <w:tc>
          <w:tcPr>
            <w:tcW w:w="709" w:type="dxa"/>
            <w:vMerge w:val="restart"/>
            <w:vAlign w:val="center"/>
          </w:tcPr>
          <w:p>
            <w:pPr>
              <w:pStyle w:val="21"/>
              <w:ind w:firstLine="0" w:firstLineChars="0"/>
              <w:jc w:val="center"/>
              <w:rPr>
                <w:rFonts w:hint="eastAsia" w:hAnsi="宋体" w:eastAsia="宋体"/>
                <w:color w:val="auto"/>
                <w:sz w:val="18"/>
                <w:szCs w:val="18"/>
                <w:lang w:val="en-US" w:eastAsia="zh-CN"/>
              </w:rPr>
            </w:pPr>
            <w:r>
              <w:rPr>
                <w:rFonts w:hint="eastAsia" w:hAnsi="宋体"/>
                <w:color w:val="auto"/>
                <w:sz w:val="18"/>
                <w:szCs w:val="18"/>
                <w:lang w:val="en-US" w:eastAsia="zh-CN"/>
              </w:rPr>
              <w:t>10分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48" w:type="dxa"/>
            <w:vMerge w:val="continue"/>
            <w:vAlign w:val="center"/>
          </w:tcPr>
          <w:p>
            <w:pPr>
              <w:pStyle w:val="21"/>
              <w:ind w:firstLine="0" w:firstLineChars="0"/>
              <w:jc w:val="center"/>
              <w:rPr>
                <w:rFonts w:hint="eastAsia" w:hAnsi="宋体"/>
                <w:color w:val="auto"/>
                <w:sz w:val="18"/>
                <w:szCs w:val="18"/>
              </w:rPr>
            </w:pPr>
          </w:p>
        </w:tc>
        <w:tc>
          <w:tcPr>
            <w:tcW w:w="7713" w:type="dxa"/>
            <w:vAlign w:val="center"/>
          </w:tcPr>
          <w:p>
            <w:pPr>
              <w:jc w:val="left"/>
              <w:rPr>
                <w:rFonts w:hint="eastAsia" w:ascii="宋体" w:hAnsi="宋体"/>
                <w:color w:val="auto"/>
                <w:kern w:val="0"/>
                <w:sz w:val="18"/>
                <w:szCs w:val="18"/>
              </w:rPr>
            </w:pPr>
            <w:r>
              <w:rPr>
                <w:rFonts w:hint="eastAsia" w:ascii="宋体" w:hAnsi="宋体"/>
                <w:color w:val="auto"/>
                <w:kern w:val="0"/>
                <w:sz w:val="18"/>
                <w:szCs w:val="18"/>
              </w:rPr>
              <w:t>5.2 三个工作日内对中心提出的整改建议落实调查并反馈</w:t>
            </w:r>
          </w:p>
        </w:tc>
        <w:tc>
          <w:tcPr>
            <w:tcW w:w="709" w:type="dxa"/>
            <w:vMerge w:val="continue"/>
            <w:vAlign w:val="center"/>
          </w:tcPr>
          <w:p>
            <w:pPr>
              <w:pStyle w:val="21"/>
              <w:ind w:firstLine="0" w:firstLineChars="0"/>
              <w:jc w:val="center"/>
              <w:rPr>
                <w:rFonts w:hint="eastAsia" w:hAnsi="宋体"/>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48" w:type="dxa"/>
            <w:vMerge w:val="continue"/>
            <w:vAlign w:val="center"/>
          </w:tcPr>
          <w:p>
            <w:pPr>
              <w:pStyle w:val="21"/>
              <w:ind w:firstLine="0" w:firstLineChars="0"/>
              <w:jc w:val="center"/>
              <w:rPr>
                <w:rFonts w:hint="eastAsia" w:hAnsi="宋体"/>
                <w:color w:val="auto"/>
                <w:sz w:val="18"/>
                <w:szCs w:val="18"/>
              </w:rPr>
            </w:pPr>
          </w:p>
        </w:tc>
        <w:tc>
          <w:tcPr>
            <w:tcW w:w="7713" w:type="dxa"/>
            <w:vAlign w:val="center"/>
          </w:tcPr>
          <w:p>
            <w:pPr>
              <w:jc w:val="left"/>
              <w:rPr>
                <w:rFonts w:hint="eastAsia" w:ascii="宋体" w:hAnsi="宋体"/>
                <w:color w:val="auto"/>
                <w:sz w:val="18"/>
                <w:szCs w:val="18"/>
              </w:rPr>
            </w:pPr>
            <w:r>
              <w:rPr>
                <w:rFonts w:hint="eastAsia" w:ascii="宋体" w:hAnsi="宋体"/>
                <w:color w:val="auto"/>
                <w:kern w:val="0"/>
                <w:sz w:val="18"/>
                <w:szCs w:val="18"/>
              </w:rPr>
              <w:t>5.3 每半年对本单位联动工作定期开展自查自纠并将情况上报中心</w:t>
            </w:r>
          </w:p>
        </w:tc>
        <w:tc>
          <w:tcPr>
            <w:tcW w:w="709" w:type="dxa"/>
            <w:vMerge w:val="continue"/>
            <w:vAlign w:val="center"/>
          </w:tcPr>
          <w:p>
            <w:pPr>
              <w:pStyle w:val="21"/>
              <w:ind w:firstLine="0" w:firstLineChars="0"/>
              <w:jc w:val="center"/>
              <w:rPr>
                <w:rFonts w:hint="eastAsia" w:hAnsi="宋体"/>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48" w:type="dxa"/>
            <w:vAlign w:val="center"/>
          </w:tcPr>
          <w:p>
            <w:pPr>
              <w:pStyle w:val="21"/>
              <w:ind w:firstLine="0" w:firstLineChars="0"/>
              <w:jc w:val="center"/>
              <w:rPr>
                <w:rFonts w:hint="eastAsia" w:hAnsi="宋体"/>
                <w:color w:val="auto"/>
                <w:sz w:val="18"/>
                <w:szCs w:val="18"/>
              </w:rPr>
            </w:pPr>
            <w:r>
              <w:rPr>
                <w:rFonts w:hint="eastAsia" w:hAnsi="宋体"/>
                <w:color w:val="auto"/>
                <w:sz w:val="18"/>
                <w:szCs w:val="18"/>
              </w:rPr>
              <w:t>6.报送规范</w:t>
            </w:r>
          </w:p>
        </w:tc>
        <w:tc>
          <w:tcPr>
            <w:tcW w:w="7713" w:type="dxa"/>
            <w:vAlign w:val="center"/>
          </w:tcPr>
          <w:p>
            <w:pPr>
              <w:jc w:val="left"/>
              <w:rPr>
                <w:rFonts w:hint="eastAsia" w:ascii="宋体" w:hAnsi="宋体" w:eastAsia="宋体"/>
                <w:color w:val="auto"/>
                <w:kern w:val="0"/>
                <w:sz w:val="18"/>
                <w:szCs w:val="18"/>
                <w:lang w:eastAsia="zh-CN"/>
              </w:rPr>
            </w:pPr>
            <w:r>
              <w:rPr>
                <w:rFonts w:hint="eastAsia" w:ascii="宋体" w:hAnsi="宋体"/>
                <w:color w:val="auto"/>
                <w:kern w:val="0"/>
                <w:sz w:val="18"/>
                <w:szCs w:val="18"/>
                <w:lang w:eastAsia="zh-CN"/>
              </w:rPr>
              <w:t>按要求规范报送各项材料</w:t>
            </w:r>
          </w:p>
        </w:tc>
        <w:tc>
          <w:tcPr>
            <w:tcW w:w="709" w:type="dxa"/>
            <w:vAlign w:val="center"/>
          </w:tcPr>
          <w:p>
            <w:pPr>
              <w:pStyle w:val="21"/>
              <w:ind w:firstLine="0" w:firstLineChars="0"/>
              <w:jc w:val="center"/>
              <w:rPr>
                <w:rFonts w:hint="eastAsia" w:hAnsi="宋体" w:eastAsia="宋体"/>
                <w:color w:val="auto"/>
                <w:sz w:val="18"/>
                <w:szCs w:val="18"/>
                <w:lang w:val="en-US" w:eastAsia="zh-CN"/>
              </w:rPr>
            </w:pPr>
            <w:r>
              <w:rPr>
                <w:rFonts w:hint="eastAsia" w:hAnsi="宋体"/>
                <w:color w:val="auto"/>
                <w:sz w:val="18"/>
                <w:szCs w:val="18"/>
                <w:lang w:val="en-US" w:eastAsia="zh-CN"/>
              </w:rPr>
              <w:t>10分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48" w:type="dxa"/>
            <w:vMerge w:val="restart"/>
            <w:vAlign w:val="center"/>
          </w:tcPr>
          <w:p>
            <w:pPr>
              <w:pStyle w:val="21"/>
              <w:ind w:firstLine="0" w:firstLineChars="0"/>
              <w:jc w:val="center"/>
              <w:rPr>
                <w:rFonts w:hint="eastAsia" w:hAnsi="宋体"/>
                <w:color w:val="auto"/>
                <w:sz w:val="18"/>
                <w:szCs w:val="18"/>
              </w:rPr>
            </w:pPr>
            <w:r>
              <w:rPr>
                <w:rFonts w:hint="eastAsia" w:hAnsi="宋体"/>
                <w:color w:val="auto"/>
                <w:sz w:val="18"/>
                <w:szCs w:val="18"/>
              </w:rPr>
              <w:t>6.加分项</w:t>
            </w:r>
          </w:p>
        </w:tc>
        <w:tc>
          <w:tcPr>
            <w:tcW w:w="7713" w:type="dxa"/>
            <w:vAlign w:val="center"/>
          </w:tcPr>
          <w:p>
            <w:pPr>
              <w:pStyle w:val="21"/>
              <w:ind w:firstLine="0" w:firstLineChars="0"/>
              <w:jc w:val="left"/>
              <w:rPr>
                <w:rFonts w:hint="eastAsia" w:hAnsi="宋体"/>
                <w:color w:val="auto"/>
                <w:sz w:val="18"/>
                <w:szCs w:val="18"/>
              </w:rPr>
            </w:pPr>
            <w:r>
              <w:rPr>
                <w:rFonts w:hint="eastAsia" w:hAnsi="宋体"/>
                <w:color w:val="auto"/>
                <w:sz w:val="18"/>
                <w:szCs w:val="18"/>
              </w:rPr>
              <w:t>6.1 典型案例被采纳发布</w:t>
            </w:r>
          </w:p>
        </w:tc>
        <w:tc>
          <w:tcPr>
            <w:tcW w:w="709" w:type="dxa"/>
            <w:vMerge w:val="restart"/>
            <w:vAlign w:val="center"/>
          </w:tcPr>
          <w:p>
            <w:pPr>
              <w:pStyle w:val="21"/>
              <w:ind w:firstLine="0" w:firstLineChars="0"/>
              <w:jc w:val="center"/>
              <w:rPr>
                <w:rFonts w:hint="eastAsia" w:hAnsi="宋体" w:eastAsia="宋体"/>
                <w:color w:val="auto"/>
                <w:sz w:val="18"/>
                <w:szCs w:val="18"/>
                <w:lang w:val="en-US" w:eastAsia="zh-CN"/>
              </w:rPr>
            </w:pPr>
            <w:r>
              <w:rPr>
                <w:rFonts w:hint="eastAsia" w:hAnsi="宋体"/>
                <w:color w:val="auto"/>
                <w:sz w:val="18"/>
                <w:szCs w:val="18"/>
                <w:lang w:val="en-US" w:eastAsia="zh-CN"/>
              </w:rPr>
              <w:t>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48" w:type="dxa"/>
            <w:vMerge w:val="continue"/>
            <w:vAlign w:val="center"/>
          </w:tcPr>
          <w:p>
            <w:pPr>
              <w:pStyle w:val="21"/>
              <w:ind w:firstLine="0" w:firstLineChars="0"/>
              <w:jc w:val="center"/>
              <w:rPr>
                <w:rFonts w:hint="eastAsia" w:hAnsi="宋体"/>
                <w:color w:val="auto"/>
                <w:sz w:val="18"/>
                <w:szCs w:val="18"/>
              </w:rPr>
            </w:pPr>
          </w:p>
        </w:tc>
        <w:tc>
          <w:tcPr>
            <w:tcW w:w="7713" w:type="dxa"/>
            <w:vAlign w:val="center"/>
          </w:tcPr>
          <w:p>
            <w:pPr>
              <w:pStyle w:val="21"/>
              <w:ind w:firstLine="0" w:firstLineChars="0"/>
              <w:jc w:val="left"/>
              <w:rPr>
                <w:rFonts w:hint="eastAsia" w:hAnsi="宋体"/>
                <w:color w:val="auto"/>
                <w:sz w:val="18"/>
                <w:szCs w:val="18"/>
              </w:rPr>
            </w:pPr>
            <w:r>
              <w:rPr>
                <w:rFonts w:hint="eastAsia" w:hAnsi="宋体"/>
                <w:color w:val="auto"/>
                <w:sz w:val="18"/>
                <w:szCs w:val="18"/>
              </w:rPr>
              <w:t>6.2 开展联动工作宣传活动</w:t>
            </w:r>
          </w:p>
        </w:tc>
        <w:tc>
          <w:tcPr>
            <w:tcW w:w="709" w:type="dxa"/>
            <w:vMerge w:val="continue"/>
            <w:vAlign w:val="center"/>
          </w:tcPr>
          <w:p>
            <w:pPr>
              <w:pStyle w:val="21"/>
              <w:ind w:firstLine="0" w:firstLineChars="0"/>
              <w:jc w:val="center"/>
              <w:rPr>
                <w:rFonts w:hint="eastAsia" w:hAnsi="宋体"/>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48" w:type="dxa"/>
            <w:vMerge w:val="continue"/>
            <w:vAlign w:val="center"/>
          </w:tcPr>
          <w:p>
            <w:pPr>
              <w:pStyle w:val="21"/>
              <w:ind w:firstLine="0" w:firstLineChars="0"/>
              <w:jc w:val="center"/>
              <w:rPr>
                <w:rFonts w:hint="eastAsia" w:hAnsi="宋体"/>
                <w:color w:val="auto"/>
                <w:sz w:val="18"/>
                <w:szCs w:val="18"/>
              </w:rPr>
            </w:pPr>
          </w:p>
        </w:tc>
        <w:tc>
          <w:tcPr>
            <w:tcW w:w="7713" w:type="dxa"/>
            <w:vAlign w:val="center"/>
          </w:tcPr>
          <w:p>
            <w:pPr>
              <w:pStyle w:val="21"/>
              <w:ind w:firstLine="0" w:firstLineChars="0"/>
              <w:jc w:val="left"/>
              <w:rPr>
                <w:rFonts w:hint="eastAsia" w:hAnsi="宋体"/>
                <w:color w:val="auto"/>
                <w:sz w:val="18"/>
                <w:szCs w:val="18"/>
              </w:rPr>
            </w:pPr>
            <w:r>
              <w:rPr>
                <w:rFonts w:hint="eastAsia" w:hAnsi="宋体"/>
                <w:color w:val="auto"/>
                <w:sz w:val="18"/>
                <w:szCs w:val="18"/>
              </w:rPr>
              <w:t>6.3 参与联动演练（市级以上）或组织本单位开展联动演练</w:t>
            </w:r>
          </w:p>
        </w:tc>
        <w:tc>
          <w:tcPr>
            <w:tcW w:w="709" w:type="dxa"/>
            <w:vMerge w:val="continue"/>
            <w:vAlign w:val="center"/>
          </w:tcPr>
          <w:p>
            <w:pPr>
              <w:pStyle w:val="21"/>
              <w:ind w:firstLine="0" w:firstLineChars="0"/>
              <w:jc w:val="center"/>
              <w:rPr>
                <w:rFonts w:hint="eastAsia" w:hAnsi="宋体"/>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48" w:type="dxa"/>
            <w:vMerge w:val="continue"/>
            <w:vAlign w:val="center"/>
          </w:tcPr>
          <w:p>
            <w:pPr>
              <w:pStyle w:val="21"/>
              <w:ind w:firstLine="0" w:firstLineChars="0"/>
              <w:jc w:val="center"/>
              <w:rPr>
                <w:rFonts w:hint="eastAsia" w:hAnsi="宋体"/>
                <w:color w:val="auto"/>
                <w:sz w:val="18"/>
                <w:szCs w:val="18"/>
              </w:rPr>
            </w:pPr>
          </w:p>
        </w:tc>
        <w:tc>
          <w:tcPr>
            <w:tcW w:w="7713" w:type="dxa"/>
            <w:vAlign w:val="center"/>
          </w:tcPr>
          <w:p>
            <w:pPr>
              <w:pStyle w:val="21"/>
              <w:ind w:firstLine="0" w:firstLineChars="0"/>
              <w:jc w:val="left"/>
              <w:rPr>
                <w:rFonts w:hint="eastAsia" w:hAnsi="宋体"/>
                <w:color w:val="auto"/>
                <w:sz w:val="18"/>
                <w:szCs w:val="18"/>
              </w:rPr>
            </w:pPr>
            <w:r>
              <w:rPr>
                <w:rFonts w:hint="eastAsia" w:hAnsi="宋体"/>
                <w:color w:val="auto"/>
                <w:sz w:val="18"/>
                <w:szCs w:val="18"/>
              </w:rPr>
              <w:t>6.4 主动将公益救援组织纳入“110”社会联动体系，并服从指挥调度</w:t>
            </w:r>
          </w:p>
        </w:tc>
        <w:tc>
          <w:tcPr>
            <w:tcW w:w="709" w:type="dxa"/>
            <w:vMerge w:val="continue"/>
            <w:vAlign w:val="center"/>
          </w:tcPr>
          <w:p>
            <w:pPr>
              <w:pStyle w:val="21"/>
              <w:ind w:firstLine="0" w:firstLineChars="0"/>
              <w:jc w:val="center"/>
              <w:rPr>
                <w:rFonts w:hint="eastAsia" w:hAnsi="宋体"/>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48" w:type="dxa"/>
            <w:vMerge w:val="continue"/>
            <w:vAlign w:val="center"/>
          </w:tcPr>
          <w:p>
            <w:pPr>
              <w:pStyle w:val="21"/>
              <w:ind w:firstLine="0" w:firstLineChars="0"/>
              <w:jc w:val="center"/>
              <w:rPr>
                <w:rFonts w:hint="eastAsia" w:hAnsi="宋体"/>
                <w:color w:val="auto"/>
                <w:sz w:val="18"/>
                <w:szCs w:val="18"/>
              </w:rPr>
            </w:pPr>
          </w:p>
        </w:tc>
        <w:tc>
          <w:tcPr>
            <w:tcW w:w="7713" w:type="dxa"/>
            <w:vAlign w:val="center"/>
          </w:tcPr>
          <w:p>
            <w:pPr>
              <w:pStyle w:val="21"/>
              <w:ind w:firstLine="0" w:firstLineChars="0"/>
              <w:jc w:val="left"/>
              <w:rPr>
                <w:rFonts w:hint="eastAsia" w:hAnsi="宋体"/>
                <w:color w:val="auto"/>
                <w:sz w:val="18"/>
                <w:szCs w:val="18"/>
              </w:rPr>
            </w:pPr>
            <w:r>
              <w:rPr>
                <w:rFonts w:hint="eastAsia" w:hAnsi="宋体"/>
                <w:color w:val="auto"/>
                <w:sz w:val="18"/>
                <w:szCs w:val="18"/>
              </w:rPr>
              <w:t>6.5 开展全区性联动工作业务培训</w:t>
            </w:r>
          </w:p>
        </w:tc>
        <w:tc>
          <w:tcPr>
            <w:tcW w:w="709" w:type="dxa"/>
            <w:vMerge w:val="continue"/>
            <w:vAlign w:val="center"/>
          </w:tcPr>
          <w:p>
            <w:pPr>
              <w:pStyle w:val="21"/>
              <w:ind w:firstLine="0" w:firstLineChars="0"/>
              <w:jc w:val="center"/>
              <w:rPr>
                <w:rFonts w:hint="eastAsia" w:hAnsi="宋体"/>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48" w:type="dxa"/>
            <w:vMerge w:val="continue"/>
            <w:vAlign w:val="center"/>
          </w:tcPr>
          <w:p>
            <w:pPr>
              <w:pStyle w:val="21"/>
              <w:ind w:firstLine="0" w:firstLineChars="0"/>
              <w:jc w:val="center"/>
              <w:rPr>
                <w:rFonts w:hint="eastAsia" w:hAnsi="宋体"/>
                <w:color w:val="auto"/>
                <w:sz w:val="18"/>
                <w:szCs w:val="18"/>
              </w:rPr>
            </w:pPr>
          </w:p>
        </w:tc>
        <w:tc>
          <w:tcPr>
            <w:tcW w:w="7713" w:type="dxa"/>
            <w:vAlign w:val="center"/>
          </w:tcPr>
          <w:p>
            <w:pPr>
              <w:pStyle w:val="21"/>
              <w:ind w:firstLine="0" w:firstLineChars="0"/>
              <w:jc w:val="left"/>
              <w:rPr>
                <w:rFonts w:hint="eastAsia" w:hAnsi="宋体"/>
                <w:color w:val="auto"/>
                <w:sz w:val="18"/>
                <w:szCs w:val="18"/>
              </w:rPr>
            </w:pPr>
            <w:r>
              <w:rPr>
                <w:rFonts w:hint="eastAsia" w:hAnsi="宋体"/>
                <w:color w:val="auto"/>
                <w:sz w:val="18"/>
                <w:szCs w:val="18"/>
              </w:rPr>
              <w:t>6.6 协助中心完成专项任务</w:t>
            </w:r>
          </w:p>
        </w:tc>
        <w:tc>
          <w:tcPr>
            <w:tcW w:w="709" w:type="dxa"/>
            <w:vMerge w:val="continue"/>
            <w:vAlign w:val="center"/>
          </w:tcPr>
          <w:p>
            <w:pPr>
              <w:pStyle w:val="21"/>
              <w:ind w:firstLine="0" w:firstLineChars="0"/>
              <w:jc w:val="center"/>
              <w:rPr>
                <w:rFonts w:hint="eastAsia" w:hAnsi="宋体"/>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48" w:type="dxa"/>
            <w:vMerge w:val="continue"/>
            <w:vAlign w:val="center"/>
          </w:tcPr>
          <w:p>
            <w:pPr>
              <w:pStyle w:val="21"/>
              <w:ind w:firstLine="0" w:firstLineChars="0"/>
              <w:jc w:val="center"/>
              <w:rPr>
                <w:rFonts w:hint="eastAsia" w:hAnsi="宋体"/>
                <w:color w:val="auto"/>
                <w:sz w:val="18"/>
                <w:szCs w:val="18"/>
              </w:rPr>
            </w:pPr>
          </w:p>
        </w:tc>
        <w:tc>
          <w:tcPr>
            <w:tcW w:w="7713" w:type="dxa"/>
            <w:vAlign w:val="center"/>
          </w:tcPr>
          <w:p>
            <w:pPr>
              <w:pStyle w:val="21"/>
              <w:ind w:firstLine="0" w:firstLineChars="0"/>
              <w:jc w:val="left"/>
              <w:rPr>
                <w:rFonts w:hint="eastAsia" w:hAnsi="宋体"/>
                <w:color w:val="auto"/>
                <w:sz w:val="18"/>
                <w:szCs w:val="18"/>
              </w:rPr>
            </w:pPr>
            <w:r>
              <w:rPr>
                <w:rFonts w:hint="eastAsia" w:hAnsi="宋体"/>
                <w:color w:val="auto"/>
                <w:sz w:val="18"/>
                <w:szCs w:val="18"/>
              </w:rPr>
              <w:t>6.7 先进工作方法或典型事迹被市级领导批示肯定或作为先进典型在市级层面推广</w:t>
            </w:r>
          </w:p>
        </w:tc>
        <w:tc>
          <w:tcPr>
            <w:tcW w:w="709" w:type="dxa"/>
            <w:vMerge w:val="continue"/>
            <w:vAlign w:val="center"/>
          </w:tcPr>
          <w:p>
            <w:pPr>
              <w:pStyle w:val="21"/>
              <w:ind w:firstLine="0" w:firstLineChars="0"/>
              <w:jc w:val="center"/>
              <w:rPr>
                <w:rFonts w:hint="eastAsia" w:hAnsi="宋体"/>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48" w:type="dxa"/>
            <w:vMerge w:val="continue"/>
            <w:vAlign w:val="center"/>
          </w:tcPr>
          <w:p>
            <w:pPr>
              <w:pStyle w:val="21"/>
              <w:ind w:firstLine="0" w:firstLineChars="0"/>
              <w:jc w:val="center"/>
              <w:rPr>
                <w:rFonts w:hint="eastAsia" w:hAnsi="宋体"/>
                <w:color w:val="auto"/>
                <w:sz w:val="18"/>
                <w:szCs w:val="18"/>
              </w:rPr>
            </w:pPr>
          </w:p>
        </w:tc>
        <w:tc>
          <w:tcPr>
            <w:tcW w:w="7713" w:type="dxa"/>
            <w:vAlign w:val="center"/>
          </w:tcPr>
          <w:p>
            <w:pPr>
              <w:pStyle w:val="21"/>
              <w:ind w:firstLine="0" w:firstLineChars="0"/>
              <w:jc w:val="left"/>
              <w:rPr>
                <w:rFonts w:hint="eastAsia" w:hAnsi="宋体"/>
                <w:color w:val="auto"/>
                <w:sz w:val="18"/>
                <w:szCs w:val="18"/>
              </w:rPr>
            </w:pPr>
            <w:r>
              <w:rPr>
                <w:rFonts w:hint="eastAsia" w:hAnsi="宋体"/>
                <w:color w:val="auto"/>
                <w:sz w:val="18"/>
                <w:szCs w:val="18"/>
              </w:rPr>
              <w:t>6.8 先进工作方法或典型事迹被省级领导批示肯定或作为先进典型在市级层面推广</w:t>
            </w:r>
          </w:p>
        </w:tc>
        <w:tc>
          <w:tcPr>
            <w:tcW w:w="709" w:type="dxa"/>
            <w:vMerge w:val="continue"/>
            <w:vAlign w:val="center"/>
          </w:tcPr>
          <w:p>
            <w:pPr>
              <w:pStyle w:val="21"/>
              <w:ind w:firstLine="0" w:firstLineChars="0"/>
              <w:jc w:val="center"/>
              <w:rPr>
                <w:rFonts w:hint="eastAsia" w:hAnsi="宋体"/>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48" w:type="dxa"/>
            <w:vMerge w:val="restart"/>
            <w:vAlign w:val="center"/>
          </w:tcPr>
          <w:p>
            <w:pPr>
              <w:pStyle w:val="21"/>
              <w:ind w:firstLine="0" w:firstLineChars="0"/>
              <w:jc w:val="center"/>
              <w:rPr>
                <w:rFonts w:hint="eastAsia" w:hAnsi="宋体"/>
                <w:color w:val="auto"/>
                <w:sz w:val="18"/>
                <w:szCs w:val="18"/>
                <w:highlight w:val="yellow"/>
              </w:rPr>
            </w:pPr>
            <w:r>
              <w:rPr>
                <w:rFonts w:hint="eastAsia" w:hAnsi="宋体"/>
                <w:color w:val="auto"/>
                <w:sz w:val="18"/>
                <w:szCs w:val="18"/>
              </w:rPr>
              <w:t>7.通报件</w:t>
            </w:r>
          </w:p>
        </w:tc>
        <w:tc>
          <w:tcPr>
            <w:tcW w:w="7713" w:type="dxa"/>
            <w:vAlign w:val="center"/>
          </w:tcPr>
          <w:p>
            <w:pPr>
              <w:pStyle w:val="21"/>
              <w:ind w:firstLine="0" w:firstLineChars="0"/>
              <w:jc w:val="left"/>
              <w:rPr>
                <w:rFonts w:hint="eastAsia" w:hAnsi="宋体"/>
                <w:color w:val="auto"/>
                <w:sz w:val="18"/>
                <w:szCs w:val="18"/>
              </w:rPr>
            </w:pPr>
            <w:r>
              <w:rPr>
                <w:rFonts w:hint="eastAsia" w:hAnsi="宋体"/>
                <w:color w:val="auto"/>
                <w:sz w:val="18"/>
                <w:szCs w:val="18"/>
              </w:rPr>
              <w:t xml:space="preserve">7.1 </w:t>
            </w:r>
            <w:r>
              <w:rPr>
                <w:rFonts w:hAnsi="宋体"/>
                <w:color w:val="auto"/>
                <w:sz w:val="18"/>
                <w:szCs w:val="18"/>
              </w:rPr>
              <w:t>联动单位处置不及时、不规范引发舆情造成负面影响</w:t>
            </w:r>
          </w:p>
        </w:tc>
        <w:tc>
          <w:tcPr>
            <w:tcW w:w="709" w:type="dxa"/>
            <w:vMerge w:val="restart"/>
            <w:vAlign w:val="center"/>
          </w:tcPr>
          <w:p>
            <w:pPr>
              <w:pStyle w:val="21"/>
              <w:ind w:firstLine="0" w:firstLineChars="0"/>
              <w:jc w:val="center"/>
              <w:rPr>
                <w:rFonts w:hint="eastAsia" w:hAnsi="宋体"/>
                <w:color w:val="auto"/>
                <w:sz w:val="18"/>
                <w:szCs w:val="18"/>
                <w:highlight w:val="yello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48" w:type="dxa"/>
            <w:vMerge w:val="continue"/>
            <w:vAlign w:val="center"/>
          </w:tcPr>
          <w:p>
            <w:pPr>
              <w:pStyle w:val="21"/>
              <w:ind w:firstLine="0" w:firstLineChars="0"/>
              <w:jc w:val="center"/>
              <w:rPr>
                <w:rFonts w:hint="eastAsia" w:hAnsi="宋体"/>
                <w:color w:val="auto"/>
                <w:sz w:val="18"/>
                <w:szCs w:val="18"/>
                <w:highlight w:val="yellow"/>
              </w:rPr>
            </w:pPr>
          </w:p>
        </w:tc>
        <w:tc>
          <w:tcPr>
            <w:tcW w:w="7713" w:type="dxa"/>
            <w:vAlign w:val="center"/>
          </w:tcPr>
          <w:p>
            <w:pPr>
              <w:pStyle w:val="21"/>
              <w:ind w:firstLine="0" w:firstLineChars="0"/>
              <w:jc w:val="left"/>
              <w:rPr>
                <w:rFonts w:hint="eastAsia" w:hAnsi="宋体"/>
                <w:color w:val="auto"/>
                <w:sz w:val="18"/>
                <w:szCs w:val="18"/>
              </w:rPr>
            </w:pPr>
            <w:r>
              <w:rPr>
                <w:rFonts w:hint="eastAsia" w:hAnsi="宋体"/>
                <w:color w:val="auto"/>
                <w:sz w:val="18"/>
                <w:szCs w:val="18"/>
              </w:rPr>
              <w:t xml:space="preserve">7.2 </w:t>
            </w:r>
            <w:r>
              <w:rPr>
                <w:rFonts w:hAnsi="宋体"/>
                <w:color w:val="auto"/>
                <w:sz w:val="18"/>
                <w:szCs w:val="18"/>
              </w:rPr>
              <w:t>重大应急突发事件处置不及时、不规范</w:t>
            </w:r>
          </w:p>
        </w:tc>
        <w:tc>
          <w:tcPr>
            <w:tcW w:w="709" w:type="dxa"/>
            <w:vMerge w:val="continue"/>
            <w:vAlign w:val="center"/>
          </w:tcPr>
          <w:p>
            <w:pPr>
              <w:pStyle w:val="21"/>
              <w:ind w:firstLine="0" w:firstLineChars="0"/>
              <w:jc w:val="center"/>
              <w:rPr>
                <w:rFonts w:hint="eastAsia" w:hAnsi="宋体"/>
                <w:color w:val="auto"/>
                <w:sz w:val="18"/>
                <w:szCs w:val="18"/>
                <w:highlight w:val="yello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48" w:type="dxa"/>
            <w:vMerge w:val="continue"/>
            <w:vAlign w:val="center"/>
          </w:tcPr>
          <w:p>
            <w:pPr>
              <w:pStyle w:val="21"/>
              <w:ind w:firstLine="0" w:firstLineChars="0"/>
              <w:jc w:val="center"/>
              <w:rPr>
                <w:rFonts w:hint="eastAsia" w:hAnsi="宋体"/>
                <w:color w:val="auto"/>
                <w:sz w:val="18"/>
                <w:szCs w:val="18"/>
                <w:highlight w:val="yellow"/>
              </w:rPr>
            </w:pPr>
          </w:p>
        </w:tc>
        <w:tc>
          <w:tcPr>
            <w:tcW w:w="7713" w:type="dxa"/>
            <w:vAlign w:val="center"/>
          </w:tcPr>
          <w:p>
            <w:pPr>
              <w:pStyle w:val="21"/>
              <w:ind w:firstLine="0" w:firstLineChars="0"/>
              <w:jc w:val="left"/>
              <w:rPr>
                <w:rFonts w:hint="eastAsia" w:hAnsi="宋体"/>
                <w:color w:val="auto"/>
                <w:sz w:val="18"/>
                <w:szCs w:val="18"/>
              </w:rPr>
            </w:pPr>
            <w:r>
              <w:rPr>
                <w:rFonts w:hint="eastAsia" w:hAnsi="宋体"/>
                <w:color w:val="auto"/>
                <w:sz w:val="18"/>
                <w:szCs w:val="18"/>
              </w:rPr>
              <w:t xml:space="preserve">7.3 </w:t>
            </w:r>
            <w:r>
              <w:rPr>
                <w:rFonts w:hAnsi="宋体"/>
                <w:color w:val="auto"/>
                <w:sz w:val="18"/>
                <w:szCs w:val="18"/>
              </w:rPr>
              <w:t>推诿或拒不执行中心指令</w:t>
            </w:r>
          </w:p>
        </w:tc>
        <w:tc>
          <w:tcPr>
            <w:tcW w:w="709" w:type="dxa"/>
            <w:vMerge w:val="continue"/>
            <w:vAlign w:val="center"/>
          </w:tcPr>
          <w:p>
            <w:pPr>
              <w:pStyle w:val="21"/>
              <w:ind w:firstLine="0" w:firstLineChars="0"/>
              <w:jc w:val="center"/>
              <w:rPr>
                <w:rFonts w:hint="eastAsia" w:hAnsi="宋体"/>
                <w:color w:val="auto"/>
                <w:sz w:val="18"/>
                <w:szCs w:val="18"/>
                <w:highlight w:val="yello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48" w:type="dxa"/>
            <w:vMerge w:val="continue"/>
            <w:vAlign w:val="center"/>
          </w:tcPr>
          <w:p>
            <w:pPr>
              <w:pStyle w:val="21"/>
              <w:ind w:firstLine="0" w:firstLineChars="0"/>
              <w:jc w:val="center"/>
              <w:rPr>
                <w:rFonts w:hint="eastAsia" w:hAnsi="宋体"/>
                <w:color w:val="auto"/>
                <w:sz w:val="18"/>
                <w:szCs w:val="18"/>
                <w:highlight w:val="yellow"/>
              </w:rPr>
            </w:pPr>
          </w:p>
        </w:tc>
        <w:tc>
          <w:tcPr>
            <w:tcW w:w="7713" w:type="dxa"/>
            <w:vAlign w:val="center"/>
          </w:tcPr>
          <w:p>
            <w:pPr>
              <w:pStyle w:val="21"/>
              <w:ind w:firstLine="0" w:firstLineChars="0"/>
              <w:jc w:val="left"/>
              <w:rPr>
                <w:rFonts w:hint="eastAsia" w:hAnsi="宋体"/>
                <w:color w:val="auto"/>
                <w:sz w:val="18"/>
                <w:szCs w:val="18"/>
              </w:rPr>
            </w:pPr>
            <w:r>
              <w:rPr>
                <w:rFonts w:hint="eastAsia" w:hAnsi="宋体"/>
                <w:color w:val="auto"/>
                <w:sz w:val="18"/>
                <w:szCs w:val="18"/>
              </w:rPr>
              <w:t xml:space="preserve">7.4 </w:t>
            </w:r>
            <w:r>
              <w:rPr>
                <w:rFonts w:hAnsi="宋体"/>
                <w:color w:val="auto"/>
                <w:sz w:val="18"/>
                <w:szCs w:val="18"/>
              </w:rPr>
              <w:t>未按要求制订本级联动工作考核办法</w:t>
            </w:r>
          </w:p>
        </w:tc>
        <w:tc>
          <w:tcPr>
            <w:tcW w:w="709" w:type="dxa"/>
            <w:vMerge w:val="continue"/>
            <w:vAlign w:val="center"/>
          </w:tcPr>
          <w:p>
            <w:pPr>
              <w:pStyle w:val="21"/>
              <w:ind w:firstLine="0" w:firstLineChars="0"/>
              <w:jc w:val="center"/>
              <w:rPr>
                <w:rFonts w:hint="eastAsia" w:hAnsi="宋体"/>
                <w:color w:val="auto"/>
                <w:sz w:val="18"/>
                <w:szCs w:val="18"/>
                <w:highlight w:val="yello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48" w:type="dxa"/>
            <w:vMerge w:val="continue"/>
            <w:vAlign w:val="center"/>
          </w:tcPr>
          <w:p>
            <w:pPr>
              <w:pStyle w:val="21"/>
              <w:ind w:firstLine="0" w:firstLineChars="0"/>
              <w:jc w:val="center"/>
              <w:rPr>
                <w:rFonts w:hint="eastAsia" w:hAnsi="宋体"/>
                <w:color w:val="auto"/>
                <w:sz w:val="18"/>
                <w:szCs w:val="18"/>
                <w:highlight w:val="yellow"/>
              </w:rPr>
            </w:pPr>
          </w:p>
        </w:tc>
        <w:tc>
          <w:tcPr>
            <w:tcW w:w="7713" w:type="dxa"/>
            <w:vAlign w:val="center"/>
          </w:tcPr>
          <w:p>
            <w:pPr>
              <w:pStyle w:val="21"/>
              <w:ind w:firstLine="0" w:firstLineChars="0"/>
              <w:jc w:val="left"/>
              <w:rPr>
                <w:rFonts w:hint="eastAsia" w:hAnsi="宋体"/>
                <w:color w:val="auto"/>
                <w:sz w:val="18"/>
                <w:szCs w:val="18"/>
              </w:rPr>
            </w:pPr>
            <w:r>
              <w:rPr>
                <w:rFonts w:hint="eastAsia" w:hAnsi="宋体"/>
                <w:color w:val="auto"/>
                <w:sz w:val="18"/>
                <w:szCs w:val="18"/>
              </w:rPr>
              <w:t xml:space="preserve">7.5 </w:t>
            </w:r>
            <w:r>
              <w:rPr>
                <w:rFonts w:hAnsi="宋体"/>
                <w:color w:val="auto"/>
                <w:sz w:val="18"/>
                <w:szCs w:val="18"/>
              </w:rPr>
              <w:t>联动工作未纳入当地政府绩效考核</w:t>
            </w:r>
          </w:p>
        </w:tc>
        <w:tc>
          <w:tcPr>
            <w:tcW w:w="709" w:type="dxa"/>
            <w:vMerge w:val="continue"/>
            <w:vAlign w:val="center"/>
          </w:tcPr>
          <w:p>
            <w:pPr>
              <w:pStyle w:val="21"/>
              <w:ind w:firstLine="0" w:firstLineChars="0"/>
              <w:jc w:val="center"/>
              <w:rPr>
                <w:rFonts w:hint="eastAsia" w:hAnsi="宋体"/>
                <w:color w:val="auto"/>
                <w:sz w:val="18"/>
                <w:szCs w:val="18"/>
                <w:highlight w:val="yello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48" w:type="dxa"/>
            <w:vMerge w:val="continue"/>
            <w:vAlign w:val="center"/>
          </w:tcPr>
          <w:p>
            <w:pPr>
              <w:pStyle w:val="21"/>
              <w:ind w:firstLine="0" w:firstLineChars="0"/>
              <w:jc w:val="center"/>
              <w:rPr>
                <w:rFonts w:hint="eastAsia" w:hAnsi="宋体"/>
                <w:color w:val="auto"/>
                <w:sz w:val="18"/>
                <w:szCs w:val="18"/>
                <w:highlight w:val="yellow"/>
              </w:rPr>
            </w:pPr>
          </w:p>
        </w:tc>
        <w:tc>
          <w:tcPr>
            <w:tcW w:w="7713" w:type="dxa"/>
            <w:vAlign w:val="center"/>
          </w:tcPr>
          <w:p>
            <w:pPr>
              <w:pStyle w:val="21"/>
              <w:ind w:firstLine="0" w:firstLineChars="0"/>
              <w:jc w:val="left"/>
              <w:rPr>
                <w:rFonts w:hint="eastAsia" w:hAnsi="宋体"/>
                <w:color w:val="auto"/>
                <w:sz w:val="18"/>
                <w:szCs w:val="18"/>
              </w:rPr>
            </w:pPr>
            <w:r>
              <w:rPr>
                <w:rFonts w:hint="eastAsia" w:hAnsi="宋体"/>
                <w:color w:val="auto"/>
                <w:sz w:val="18"/>
                <w:szCs w:val="18"/>
              </w:rPr>
              <w:t xml:space="preserve">7.6 </w:t>
            </w:r>
            <w:r>
              <w:rPr>
                <w:rFonts w:hAnsi="宋体"/>
                <w:color w:val="auto"/>
                <w:sz w:val="18"/>
                <w:szCs w:val="18"/>
              </w:rPr>
              <w:t>未落实“110”与“12345”并轨运行机制</w:t>
            </w:r>
          </w:p>
        </w:tc>
        <w:tc>
          <w:tcPr>
            <w:tcW w:w="709" w:type="dxa"/>
            <w:vMerge w:val="continue"/>
            <w:vAlign w:val="center"/>
          </w:tcPr>
          <w:p>
            <w:pPr>
              <w:pStyle w:val="21"/>
              <w:ind w:firstLine="0" w:firstLineChars="0"/>
              <w:jc w:val="center"/>
              <w:rPr>
                <w:rFonts w:hint="eastAsia" w:hAnsi="宋体"/>
                <w:color w:val="auto"/>
                <w:sz w:val="18"/>
                <w:szCs w:val="18"/>
                <w:highlight w:val="yello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48" w:type="dxa"/>
            <w:vMerge w:val="continue"/>
            <w:vAlign w:val="center"/>
          </w:tcPr>
          <w:p>
            <w:pPr>
              <w:pStyle w:val="21"/>
              <w:ind w:firstLine="0" w:firstLineChars="0"/>
              <w:jc w:val="center"/>
              <w:rPr>
                <w:rFonts w:hint="eastAsia" w:hAnsi="宋体"/>
                <w:color w:val="auto"/>
                <w:sz w:val="18"/>
                <w:szCs w:val="18"/>
                <w:highlight w:val="yellow"/>
              </w:rPr>
            </w:pPr>
          </w:p>
        </w:tc>
        <w:tc>
          <w:tcPr>
            <w:tcW w:w="7713" w:type="dxa"/>
            <w:vAlign w:val="center"/>
          </w:tcPr>
          <w:p>
            <w:pPr>
              <w:pStyle w:val="21"/>
              <w:ind w:firstLine="0" w:firstLineChars="0"/>
              <w:jc w:val="left"/>
              <w:rPr>
                <w:rFonts w:hint="eastAsia" w:hAnsi="宋体"/>
                <w:color w:val="auto"/>
                <w:sz w:val="18"/>
                <w:szCs w:val="18"/>
              </w:rPr>
            </w:pPr>
            <w:r>
              <w:rPr>
                <w:rFonts w:hint="eastAsia" w:hAnsi="宋体"/>
                <w:color w:val="auto"/>
                <w:sz w:val="18"/>
                <w:szCs w:val="18"/>
              </w:rPr>
              <w:t xml:space="preserve">7.7 </w:t>
            </w:r>
            <w:r>
              <w:rPr>
                <w:rFonts w:hAnsi="宋体"/>
                <w:color w:val="auto"/>
                <w:sz w:val="18"/>
                <w:szCs w:val="18"/>
              </w:rPr>
              <w:t>在省平安检查中被通报扣分的，加倍计算</w:t>
            </w:r>
          </w:p>
        </w:tc>
        <w:tc>
          <w:tcPr>
            <w:tcW w:w="709" w:type="dxa"/>
            <w:vMerge w:val="continue"/>
            <w:vAlign w:val="center"/>
          </w:tcPr>
          <w:p>
            <w:pPr>
              <w:pStyle w:val="21"/>
              <w:ind w:firstLine="0" w:firstLineChars="0"/>
              <w:jc w:val="center"/>
              <w:rPr>
                <w:rFonts w:hint="eastAsia" w:hAnsi="宋体"/>
                <w:color w:val="auto"/>
                <w:sz w:val="18"/>
                <w:szCs w:val="18"/>
                <w:highlight w:val="yellow"/>
              </w:rPr>
            </w:pPr>
          </w:p>
        </w:tc>
      </w:tr>
    </w:tbl>
    <w:p>
      <w:pPr>
        <w:pStyle w:val="21"/>
        <w:ind w:firstLine="0" w:firstLineChars="0"/>
        <w:rPr>
          <w:rFonts w:hint="eastAsia"/>
          <w:color w:val="auto"/>
        </w:rPr>
      </w:pPr>
    </w:p>
    <w:p>
      <w:pPr>
        <w:pStyle w:val="21"/>
        <w:ind w:firstLine="0" w:firstLineChars="0"/>
        <w:rPr>
          <w:rFonts w:hint="eastAsia"/>
        </w:rPr>
      </w:pPr>
      <w:r>
        <w:br w:type="page"/>
      </w:r>
    </w:p>
    <w:p>
      <w:pPr>
        <w:pStyle w:val="32"/>
        <w:rPr>
          <w:rFonts w:hint="eastAsia"/>
        </w:rPr>
      </w:pPr>
      <w:r>
        <w:br w:type="textWrapping"/>
      </w:r>
      <w:r>
        <w:rPr>
          <w:rFonts w:hint="eastAsia"/>
        </w:rPr>
        <w:t>（规范性附录）</w:t>
      </w:r>
      <w:r>
        <w:br w:type="textWrapping"/>
      </w:r>
      <w:r>
        <w:rPr>
          <w:rFonts w:hint="eastAsia"/>
        </w:rPr>
        <w:t>考核公式</w:t>
      </w:r>
    </w:p>
    <w:p>
      <w:pPr>
        <w:pStyle w:val="34"/>
        <w:spacing w:before="312" w:after="312"/>
        <w:rPr>
          <w:rFonts w:hint="eastAsia"/>
        </w:rPr>
      </w:pPr>
      <w:r>
        <w:rPr>
          <w:rFonts w:hint="eastAsia"/>
        </w:rPr>
        <w:t>计分方式</w:t>
      </w:r>
    </w:p>
    <w:p>
      <w:pPr>
        <w:pStyle w:val="21"/>
      </w:pPr>
      <w:r>
        <w:t>考核得分＝值守到位率×5＋签收及时率×10＋处置规范率×30＋反馈处结率×30＋整改落实率×10＋报送规范率×10＋加分项－通报件×10。</w:t>
      </w:r>
    </w:p>
    <w:p>
      <w:pPr>
        <w:pStyle w:val="34"/>
        <w:spacing w:before="312" w:after="312"/>
        <w:rPr>
          <w:rFonts w:hint="eastAsia"/>
        </w:rPr>
      </w:pPr>
      <w:r>
        <w:rPr>
          <w:rFonts w:hint="eastAsia"/>
        </w:rPr>
        <w:t>指标计算方法</w:t>
      </w:r>
    </w:p>
    <w:p>
      <w:pPr>
        <w:pStyle w:val="35"/>
        <w:spacing w:before="156" w:after="156"/>
        <w:rPr>
          <w:rFonts w:hint="eastAsia"/>
        </w:rPr>
      </w:pPr>
      <w:r>
        <w:t>值守到位率</w:t>
      </w:r>
    </w:p>
    <w:p>
      <w:pPr>
        <w:pStyle w:val="21"/>
      </w:pPr>
      <w:r>
        <w:t>值守到位的比率。</w:t>
      </w:r>
    </w:p>
    <w:p>
      <w:pPr>
        <w:pStyle w:val="21"/>
        <w:jc w:val="center"/>
      </w:pPr>
      <w:r>
        <w:rPr>
          <w:rFonts w:hint="eastAsia"/>
          <w:position w:val="-26"/>
        </w:rPr>
        <w:object>
          <v:shape id="_x0000_i1025" o:spt="75" type="#_x0000_t75" style="height:25.95pt;width:158.15pt;" o:ole="t" filled="f" o:preferrelative="t" stroked="f" coordsize="21600,21600">
            <v:path/>
            <v:fill on="f" focussize="0,0"/>
            <v:stroke on="f"/>
            <v:imagedata r:id="rId7" o:title=""/>
            <o:lock v:ext="edit" aspectratio="t"/>
            <w10:wrap type="none"/>
            <w10:anchorlock/>
          </v:shape>
          <o:OLEObject Type="Embed" ProgID="Equation.KSEE3" ShapeID="_x0000_i1025" DrawAspect="Content" ObjectID="_1468075725" r:id="rId6">
            <o:LockedField>false</o:LockedField>
          </o:OLEObject>
        </w:object>
      </w:r>
    </w:p>
    <w:p>
      <w:pPr>
        <w:pStyle w:val="35"/>
        <w:spacing w:before="156" w:after="156"/>
        <w:rPr>
          <w:rFonts w:hint="eastAsia"/>
        </w:rPr>
      </w:pPr>
      <w:r>
        <w:t>签收及时率</w:t>
      </w:r>
    </w:p>
    <w:p>
      <w:pPr>
        <w:pStyle w:val="21"/>
      </w:pPr>
      <w:r>
        <w:t>收到指令后及时签收的比率。</w:t>
      </w:r>
    </w:p>
    <w:p>
      <w:pPr>
        <w:pStyle w:val="21"/>
        <w:jc w:val="center"/>
      </w:pPr>
      <w:r>
        <w:rPr>
          <w:rFonts w:hint="eastAsia"/>
          <w:position w:val="-26"/>
        </w:rPr>
        <w:object>
          <v:shape id="_x0000_i1026" o:spt="75" type="#_x0000_t75" style="height:25.7pt;width:156.8pt;" o:ole="t" filled="f" o:preferrelative="t" stroked="f" coordsize="21600,21600">
            <v:path/>
            <v:fill on="f" focussize="0,0"/>
            <v:stroke on="f"/>
            <v:imagedata r:id="rId9" o:title=""/>
            <o:lock v:ext="edit" aspectratio="t"/>
            <w10:wrap type="none"/>
            <w10:anchorlock/>
          </v:shape>
          <o:OLEObject Type="Embed" ProgID="Equation.KSEE3" ShapeID="_x0000_i1026" DrawAspect="Content" ObjectID="_1468075726" r:id="rId8">
            <o:LockedField>false</o:LockedField>
          </o:OLEObject>
        </w:object>
      </w:r>
    </w:p>
    <w:p>
      <w:pPr>
        <w:pStyle w:val="35"/>
        <w:spacing w:before="156" w:after="156"/>
        <w:rPr>
          <w:rFonts w:hint="eastAsia"/>
        </w:rPr>
      </w:pPr>
      <w:r>
        <w:t>处置规范率</w:t>
      </w:r>
    </w:p>
    <w:p>
      <w:pPr>
        <w:pStyle w:val="21"/>
      </w:pPr>
      <w:r>
        <w:t>规定时间内督导、落实力量规范开展处置工作的比率。</w:t>
      </w:r>
    </w:p>
    <w:p>
      <w:pPr>
        <w:pStyle w:val="21"/>
        <w:jc w:val="center"/>
        <w:rPr>
          <w:rFonts w:hint="eastAsia"/>
        </w:rPr>
      </w:pPr>
      <w:r>
        <w:rPr>
          <w:rFonts w:hint="eastAsia"/>
          <w:position w:val="-26"/>
        </w:rPr>
        <w:object>
          <v:shape id="_x0000_i1027" o:spt="75" type="#_x0000_t75" style="height:24.85pt;width:150.5pt;" o:ole="t" filled="f" o:preferrelative="t" stroked="f" coordsize="21600,21600">
            <v:path/>
            <v:fill on="f" focussize="0,0"/>
            <v:stroke on="f"/>
            <v:imagedata r:id="rId11" o:title=""/>
            <o:lock v:ext="edit" aspectratio="t"/>
            <w10:wrap type="none"/>
            <w10:anchorlock/>
          </v:shape>
          <o:OLEObject Type="Embed" ProgID="Equation.KSEE3" ShapeID="_x0000_i1027" DrawAspect="Content" ObjectID="_1468075727" r:id="rId10">
            <o:LockedField>false</o:LockedField>
          </o:OLEObject>
        </w:object>
      </w:r>
    </w:p>
    <w:p>
      <w:pPr>
        <w:pStyle w:val="35"/>
        <w:spacing w:before="156" w:after="156"/>
        <w:rPr>
          <w:rFonts w:hint="eastAsia"/>
        </w:rPr>
      </w:pPr>
      <w:r>
        <w:t>反馈处结率</w:t>
      </w:r>
    </w:p>
    <w:p>
      <w:pPr>
        <w:pStyle w:val="21"/>
      </w:pPr>
      <w:r>
        <w:t>收到指令后规范反馈的比率。</w:t>
      </w:r>
    </w:p>
    <w:p>
      <w:pPr>
        <w:pStyle w:val="21"/>
        <w:jc w:val="center"/>
        <w:rPr>
          <w:rFonts w:hint="eastAsia"/>
        </w:rPr>
      </w:pPr>
      <w:r>
        <w:rPr>
          <w:rFonts w:hint="eastAsia"/>
          <w:position w:val="-26"/>
        </w:rPr>
        <w:object>
          <v:shape id="_x0000_i1028" o:spt="75" type="#_x0000_t75" style="height:27.7pt;width:168.7pt;" o:ole="t" filled="f" o:preferrelative="t" stroked="f" coordsize="21600,21600">
            <v:path/>
            <v:fill on="f" focussize="0,0"/>
            <v:stroke on="f"/>
            <v:imagedata r:id="rId13" o:title=""/>
            <o:lock v:ext="edit" aspectratio="t"/>
            <w10:wrap type="none"/>
            <w10:anchorlock/>
          </v:shape>
          <o:OLEObject Type="Embed" ProgID="Equation.KSEE3" ShapeID="_x0000_i1028" DrawAspect="Content" ObjectID="_1468075728" r:id="rId12">
            <o:LockedField>false</o:LockedField>
          </o:OLEObject>
        </w:object>
      </w:r>
    </w:p>
    <w:p>
      <w:pPr>
        <w:pStyle w:val="35"/>
        <w:spacing w:before="156" w:after="156"/>
        <w:rPr>
          <w:rFonts w:hint="eastAsia"/>
        </w:rPr>
      </w:pPr>
      <w:r>
        <w:t>整改落实率</w:t>
      </w:r>
    </w:p>
    <w:p>
      <w:pPr>
        <w:pStyle w:val="21"/>
      </w:pPr>
      <w:r>
        <w:t>按要求提交整改措施并落实到位的比率。</w:t>
      </w:r>
    </w:p>
    <w:p>
      <w:pPr>
        <w:pStyle w:val="21"/>
        <w:jc w:val="center"/>
        <w:rPr>
          <w:rFonts w:hint="eastAsia"/>
        </w:rPr>
      </w:pPr>
      <w:r>
        <w:rPr>
          <w:rFonts w:hint="eastAsia"/>
          <w:position w:val="-26"/>
        </w:rPr>
        <w:object>
          <v:shape id="_x0000_i1029" o:spt="75" type="#_x0000_t75" style="height:25.15pt;width:153.05pt;" o:ole="t" filled="f" o:preferrelative="t" stroked="f" coordsize="21600,21600">
            <v:path/>
            <v:fill on="f" focussize="0,0"/>
            <v:stroke on="f"/>
            <v:imagedata r:id="rId15" o:title=""/>
            <o:lock v:ext="edit" aspectratio="t"/>
            <w10:wrap type="none"/>
            <w10:anchorlock/>
          </v:shape>
          <o:OLEObject Type="Embed" ProgID="Equation.KSEE3" ShapeID="_x0000_i1029" DrawAspect="Content" ObjectID="_1468075729" r:id="rId14">
            <o:LockedField>false</o:LockedField>
          </o:OLEObject>
        </w:object>
      </w:r>
    </w:p>
    <w:p>
      <w:pPr>
        <w:pStyle w:val="35"/>
        <w:spacing w:before="156" w:after="156"/>
        <w:rPr>
          <w:rFonts w:hint="eastAsia"/>
        </w:rPr>
      </w:pPr>
      <w:r>
        <w:t>报送规范率</w:t>
      </w:r>
    </w:p>
    <w:p>
      <w:pPr>
        <w:pStyle w:val="21"/>
      </w:pPr>
      <w:r>
        <w:t>按要求规范报送各项材料的比率。</w:t>
      </w:r>
    </w:p>
    <w:p>
      <w:pPr>
        <w:pStyle w:val="21"/>
        <w:jc w:val="center"/>
        <w:rPr>
          <w:rFonts w:hint="eastAsia"/>
          <w:position w:val="-26"/>
        </w:rPr>
      </w:pPr>
      <w:r>
        <w:rPr>
          <w:rFonts w:hint="eastAsia"/>
          <w:position w:val="-26"/>
        </w:rPr>
        <w:object>
          <v:shape id="_x0000_i1030" o:spt="75" type="#_x0000_t75" style="height:26.6pt;width:162pt;" o:ole="t" filled="f" o:preferrelative="t" stroked="f" coordsize="21600,21600">
            <v:path/>
            <v:fill on="f" focussize="0,0"/>
            <v:stroke on="f"/>
            <v:imagedata r:id="rId17" o:title=""/>
            <o:lock v:ext="edit" aspectratio="t"/>
            <w10:wrap type="none"/>
            <w10:anchorlock/>
          </v:shape>
          <o:OLEObject Type="Embed" ProgID="Equation.KSEE3" ShapeID="_x0000_i1030" DrawAspect="Content" ObjectID="_1468075730" r:id="rId16">
            <o:LockedField>false</o:LockedField>
          </o:OLEObject>
        </w:object>
      </w:r>
    </w:p>
    <w:p/>
    <w:p>
      <w:pPr>
        <w:pStyle w:val="36"/>
        <w:rPr>
          <w:rFonts w:hint="eastAsia"/>
        </w:rPr>
      </w:pPr>
      <w:r>
        <w:rPr>
          <w:rFonts w:hint="eastAsia"/>
        </w:rPr>
        <w:t>参</w:t>
      </w:r>
      <w:r>
        <w:rPr>
          <w:rFonts w:hint="eastAsia" w:ascii="MS Mincho" w:hAnsi="MS Mincho" w:eastAsia="MS Mincho" w:cs="MS Mincho"/>
        </w:rPr>
        <w:t> </w:t>
      </w:r>
      <w:r>
        <w:rPr>
          <w:rFonts w:hint="eastAsia"/>
        </w:rPr>
        <w:t>考</w:t>
      </w:r>
      <w:r>
        <w:rPr>
          <w:rFonts w:hint="eastAsia" w:ascii="MS Mincho" w:hAnsi="MS Mincho" w:eastAsia="MS Mincho" w:cs="MS Mincho"/>
        </w:rPr>
        <w:t> </w:t>
      </w:r>
      <w:r>
        <w:rPr>
          <w:rFonts w:hint="eastAsia"/>
        </w:rPr>
        <w:t>文</w:t>
      </w:r>
      <w:r>
        <w:rPr>
          <w:rFonts w:hint="eastAsia" w:ascii="MS Mincho" w:hAnsi="MS Mincho" w:eastAsia="MS Mincho" w:cs="MS Mincho"/>
        </w:rPr>
        <w:t> </w:t>
      </w:r>
      <w:r>
        <w:rPr>
          <w:rFonts w:hint="eastAsia"/>
        </w:rPr>
        <w:t>献</w:t>
      </w:r>
    </w:p>
    <w:p>
      <w:pPr>
        <w:pStyle w:val="21"/>
        <w:rPr>
          <w:rFonts w:hint="eastAsia"/>
        </w:rPr>
      </w:pPr>
      <w:r>
        <w:rPr>
          <w:rFonts w:hint="eastAsia"/>
        </w:rPr>
        <w:t>[1] 浙江省人民政府办公厅关于进一步加强社会应急联动工作的意见</w:t>
      </w:r>
    </w:p>
    <w:p>
      <w:pPr>
        <w:pStyle w:val="21"/>
        <w:rPr>
          <w:rFonts w:hint="eastAsia"/>
        </w:rPr>
      </w:pPr>
      <w:r>
        <w:rPr>
          <w:rFonts w:hint="eastAsia"/>
        </w:rPr>
        <w:t>[2] 浙江省公安厅关于认真贯彻落实《浙江省人民政府办公厅关于进一步加强社会应急联动工作的意见》的通知</w:t>
      </w:r>
    </w:p>
    <w:p>
      <w:pPr>
        <w:pStyle w:val="21"/>
        <w:rPr>
          <w:rFonts w:hint="eastAsia"/>
        </w:rPr>
      </w:pPr>
      <w:r>
        <w:rPr>
          <w:rFonts w:hint="eastAsia"/>
        </w:rPr>
        <w:t>[3] 杭州市“110”社会应急联动工作实施方案</w:t>
      </w:r>
    </w:p>
    <w:p>
      <w:pPr>
        <w:pStyle w:val="21"/>
        <w:rPr>
          <w:rFonts w:hint="eastAsia"/>
        </w:rPr>
      </w:pPr>
      <w:r>
        <w:rPr>
          <w:rFonts w:hint="eastAsia"/>
        </w:rPr>
        <w:t>[4] 杭州市2018年度110社会应急联动工作考核办法</w:t>
      </w:r>
    </w:p>
    <w:p>
      <w:pPr>
        <w:pStyle w:val="21"/>
        <w:rPr>
          <w:rFonts w:hint="eastAsia"/>
        </w:rPr>
      </w:pPr>
      <w:r>
        <w:rPr>
          <w:rFonts w:hint="eastAsia"/>
        </w:rPr>
        <w:t>[5] 关于进一步规范“110”联动工作的通知</w:t>
      </w:r>
      <w:r>
        <w:rPr>
          <w:rFonts w:hint="eastAsia"/>
          <w:lang w:eastAsia="zh-CN"/>
        </w:rPr>
        <w:t>（</w:t>
      </w:r>
      <w:r>
        <w:rPr>
          <w:rFonts w:hint="eastAsia"/>
        </w:rPr>
        <w:t>杭联领﹝2020﹞1号</w:t>
      </w:r>
      <w:r>
        <w:rPr>
          <w:rFonts w:hint="eastAsia"/>
          <w:lang w:eastAsia="zh-CN"/>
        </w:rPr>
        <w:t>）</w:t>
      </w:r>
    </w:p>
    <w:p>
      <w:pPr>
        <w:pStyle w:val="21"/>
        <w:rPr>
          <w:rFonts w:hint="eastAsia"/>
        </w:rPr>
      </w:pPr>
      <w:r>
        <w:rPr>
          <w:rFonts w:hint="eastAsia"/>
        </w:rPr>
        <w:t>[6] 关于印发《2020年度杭州市“110”社会联动工作市级联动单位考核办法》的通知</w:t>
      </w:r>
      <w:r>
        <w:rPr>
          <w:rFonts w:hint="eastAsia"/>
          <w:lang w:eastAsia="zh-CN"/>
        </w:rPr>
        <w:t>（</w:t>
      </w:r>
      <w:r>
        <w:rPr>
          <w:rFonts w:hint="eastAsia"/>
        </w:rPr>
        <w:t>杭联领﹝2020﹞9号</w:t>
      </w:r>
      <w:r>
        <w:rPr>
          <w:rFonts w:hint="eastAsia"/>
          <w:lang w:eastAsia="zh-CN"/>
        </w:rPr>
        <w:t>）</w:t>
      </w:r>
    </w:p>
    <w:p>
      <w:pPr>
        <w:pStyle w:val="21"/>
        <w:rPr>
          <w:rFonts w:hint="eastAsia"/>
        </w:rPr>
      </w:pPr>
      <w:r>
        <w:rPr>
          <w:rFonts w:hint="eastAsia"/>
        </w:rPr>
        <w:t>[7] 关于印发《2020年度杭州市“110”社会联动工作区、县（市）考核办法》的通知</w:t>
      </w:r>
      <w:r>
        <w:rPr>
          <w:rFonts w:hint="eastAsia"/>
          <w:lang w:eastAsia="zh-CN"/>
        </w:rPr>
        <w:t>（</w:t>
      </w:r>
      <w:r>
        <w:rPr>
          <w:rFonts w:hint="eastAsia"/>
        </w:rPr>
        <w:t>杭联领﹝2020﹞10号</w:t>
      </w:r>
      <w:r>
        <w:rPr>
          <w:rFonts w:hint="eastAsia"/>
          <w:lang w:eastAsia="zh-CN"/>
        </w:rPr>
        <w:t>）</w:t>
      </w:r>
    </w:p>
    <w:p>
      <w:pPr>
        <w:pStyle w:val="21"/>
        <w:rPr>
          <w:rFonts w:hint="eastAsia"/>
        </w:rPr>
      </w:pPr>
    </w:p>
    <w:p>
      <w:pPr>
        <w:pStyle w:val="21"/>
      </w:pPr>
    </w:p>
    <w:p>
      <w:pPr>
        <w:pStyle w:val="21"/>
        <w:rPr>
          <w:rFonts w:hint="eastAsia"/>
        </w:rPr>
      </w:pPr>
    </w:p>
    <w:p>
      <w:pPr>
        <w:pStyle w:val="21"/>
        <w:rPr>
          <w:rFonts w:hint="eastAsia"/>
        </w:rPr>
      </w:pPr>
    </w:p>
    <w:p>
      <w:pPr>
        <w:pStyle w:val="21"/>
        <w:rPr>
          <w:rFonts w:hint="eastAsia"/>
        </w:rPr>
      </w:pPr>
    </w:p>
    <w:p>
      <w:pPr>
        <w:pStyle w:val="21"/>
        <w:jc w:val="center"/>
      </w:pPr>
      <w:r>
        <w:t>_________________________________</w:t>
      </w:r>
    </w:p>
    <w:p/>
    <w:sectPr>
      <w:headerReference r:id="rId3" w:type="default"/>
      <w:footerReference r:id="rId4" w:type="default"/>
      <w:pgSz w:w="11906" w:h="16838"/>
      <w:pgMar w:top="567" w:right="1134" w:bottom="1134" w:left="1418" w:header="1418" w:footer="1134" w:gutter="0"/>
      <w:pgNumType w:start="1"/>
      <w:cols w:space="720" w:num="1"/>
      <w:formProt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S Mincho">
    <w:panose1 w:val="02020609040205080304"/>
    <w:charset w:val="80"/>
    <w:family w:val="modern"/>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Pr>
    <w:r>
      <w:fldChar w:fldCharType="begin"/>
    </w:r>
    <w:r>
      <w:instrText xml:space="preserve"> PAGE  \* MERGEFORMAT </w:instrText>
    </w:r>
    <w:r>
      <w:fldChar w:fldCharType="separate"/>
    </w:r>
    <w:r>
      <w:t>5</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Pr>
    <w:r>
      <w:t>DB</w:t>
    </w:r>
    <w:r>
      <w:rPr>
        <w:rFonts w:hint="eastAsia"/>
      </w:rPr>
      <w:t>3301</w:t>
    </w:r>
    <w:r>
      <w:t>/</w:t>
    </w:r>
    <w:r>
      <w:rPr>
        <w:rFonts w:hint="eastAsia"/>
      </w:rPr>
      <w:t>T</w:t>
    </w:r>
    <w:r>
      <w:t xml:space="preserve"> XXXXX—</w:t>
    </w:r>
    <w:r>
      <w:rPr>
        <w:rFonts w:hint="eastAsia"/>
      </w:rPr>
      <w:t>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91163"/>
    <w:multiLevelType w:val="multilevel"/>
    <w:tmpl w:val="1FC91163"/>
    <w:lvl w:ilvl="0" w:tentative="0">
      <w:start w:val="1"/>
      <w:numFmt w:val="decimal"/>
      <w:pStyle w:val="25"/>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26"/>
      <w:suff w:val="nothing"/>
      <w:lvlText w:val="%1.%2　"/>
      <w:lvlJc w:val="left"/>
      <w:pPr>
        <w:ind w:left="0"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pStyle w:val="29"/>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
    <w:nsid w:val="25EEC923"/>
    <w:multiLevelType w:val="multilevel"/>
    <w:tmpl w:val="25EEC923"/>
    <w:lvl w:ilvl="0" w:tentative="0">
      <w:start w:val="1"/>
      <w:numFmt w:val="lowerLetter"/>
      <w:pStyle w:val="33"/>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2">
    <w:nsid w:val="2A8F7113"/>
    <w:multiLevelType w:val="multilevel"/>
    <w:tmpl w:val="2A8F7113"/>
    <w:lvl w:ilvl="0" w:tentative="0">
      <w:start w:val="1"/>
      <w:numFmt w:val="upperLetter"/>
      <w:pStyle w:val="30"/>
      <w:suff w:val="space"/>
      <w:lvlText w:val="%1"/>
      <w:lvlJc w:val="left"/>
      <w:pPr>
        <w:ind w:left="623" w:hanging="425"/>
      </w:pPr>
      <w:rPr>
        <w:rFonts w:hint="eastAsia"/>
      </w:rPr>
    </w:lvl>
    <w:lvl w:ilvl="1" w:tentative="0">
      <w:start w:val="1"/>
      <w:numFmt w:val="decimal"/>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3">
    <w:nsid w:val="2C5917C3"/>
    <w:multiLevelType w:val="multilevel"/>
    <w:tmpl w:val="2C5917C3"/>
    <w:lvl w:ilvl="0" w:tentative="0">
      <w:start w:val="1"/>
      <w:numFmt w:val="none"/>
      <w:pStyle w:val="27"/>
      <w:suff w:val="nothing"/>
      <w:lvlText w:val="%1——"/>
      <w:lvlJc w:val="left"/>
      <w:pPr>
        <w:ind w:left="833" w:hanging="408"/>
      </w:pPr>
      <w:rPr>
        <w:rFonts w:hint="eastAsia"/>
      </w:rPr>
    </w:lvl>
    <w:lvl w:ilvl="1" w:tentative="0">
      <w:start w:val="1"/>
      <w:numFmt w:val="bullet"/>
      <w:lvlText w:val=""/>
      <w:lvlJc w:val="left"/>
      <w:pPr>
        <w:tabs>
          <w:tab w:val="left" w:pos="760"/>
        </w:tabs>
        <w:ind w:left="1264" w:hanging="413"/>
      </w:pPr>
      <w:rPr>
        <w:rFonts w:hint="default" w:ascii="Symbol" w:hAnsi="Symbol"/>
        <w:color w:val="auto"/>
      </w:rPr>
    </w:lvl>
    <w:lvl w:ilvl="2" w:tentative="0">
      <w:start w:val="1"/>
      <w:numFmt w:val="bullet"/>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4">
    <w:nsid w:val="60B55DC2"/>
    <w:multiLevelType w:val="multilevel"/>
    <w:tmpl w:val="60B55DC2"/>
    <w:lvl w:ilvl="0" w:tentative="0">
      <w:start w:val="1"/>
      <w:numFmt w:val="upperLetter"/>
      <w:pStyle w:val="31"/>
      <w:lvlText w:val="%1"/>
      <w:lvlJc w:val="left"/>
      <w:pPr>
        <w:tabs>
          <w:tab w:val="left" w:pos="0"/>
        </w:tabs>
        <w:ind w:left="0" w:hanging="425"/>
      </w:pPr>
      <w:rPr>
        <w:rFonts w:hint="eastAsia"/>
      </w:rPr>
    </w:lvl>
    <w:lvl w:ilvl="1" w:tentative="0">
      <w:start w:val="1"/>
      <w:numFmt w:val="decimal"/>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5">
    <w:nsid w:val="657D3FBC"/>
    <w:multiLevelType w:val="multilevel"/>
    <w:tmpl w:val="657D3FBC"/>
    <w:lvl w:ilvl="0" w:tentative="0">
      <w:start w:val="1"/>
      <w:numFmt w:val="upperLetter"/>
      <w:pStyle w:val="32"/>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34"/>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35"/>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num w:numId="1">
    <w:abstractNumId w:val="0"/>
  </w:num>
  <w:num w:numId="2">
    <w:abstractNumId w:val="3"/>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C70C0C"/>
    <w:rsid w:val="04FC5571"/>
    <w:rsid w:val="07155070"/>
    <w:rsid w:val="07770F13"/>
    <w:rsid w:val="0A216F39"/>
    <w:rsid w:val="0C723EBA"/>
    <w:rsid w:val="0EAA75A9"/>
    <w:rsid w:val="0F0A411D"/>
    <w:rsid w:val="10771392"/>
    <w:rsid w:val="163E7084"/>
    <w:rsid w:val="1B222CB5"/>
    <w:rsid w:val="1BA62909"/>
    <w:rsid w:val="1FF55708"/>
    <w:rsid w:val="220D475B"/>
    <w:rsid w:val="23C21C4F"/>
    <w:rsid w:val="257D04FF"/>
    <w:rsid w:val="26023754"/>
    <w:rsid w:val="268B7B4A"/>
    <w:rsid w:val="27226B2A"/>
    <w:rsid w:val="273D4A27"/>
    <w:rsid w:val="28B06578"/>
    <w:rsid w:val="2AC37294"/>
    <w:rsid w:val="2F6177A4"/>
    <w:rsid w:val="2FEA52E2"/>
    <w:rsid w:val="317C6140"/>
    <w:rsid w:val="31FE3F8C"/>
    <w:rsid w:val="33B015DF"/>
    <w:rsid w:val="36735F35"/>
    <w:rsid w:val="3DAD2C7E"/>
    <w:rsid w:val="3EB640F2"/>
    <w:rsid w:val="4304511C"/>
    <w:rsid w:val="431F3617"/>
    <w:rsid w:val="45BE5CD0"/>
    <w:rsid w:val="47886A35"/>
    <w:rsid w:val="4B1835BF"/>
    <w:rsid w:val="4B994CC3"/>
    <w:rsid w:val="54957693"/>
    <w:rsid w:val="54CF2540"/>
    <w:rsid w:val="5E956A9E"/>
    <w:rsid w:val="67C70C0C"/>
    <w:rsid w:val="6C5D7D97"/>
    <w:rsid w:val="704E7E29"/>
    <w:rsid w:val="718B448D"/>
    <w:rsid w:val="758D784B"/>
    <w:rsid w:val="75F91054"/>
    <w:rsid w:val="7A0012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5">
    <w:name w:val="其他标准标志"/>
    <w:basedOn w:val="6"/>
    <w:qFormat/>
    <w:uiPriority w:val="0"/>
    <w:pPr>
      <w:framePr w:w="6101" w:vAnchor="page" w:hAnchor="page" w:x="4673" w:y="942"/>
    </w:pPr>
    <w:rPr>
      <w:w w:val="130"/>
    </w:rPr>
  </w:style>
  <w:style w:type="paragraph" w:customStyle="1" w:styleId="6">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7">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8">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9">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10">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1">
    <w:name w:val="封面标准英文名称"/>
    <w:basedOn w:val="10"/>
    <w:qFormat/>
    <w:uiPriority w:val="0"/>
    <w:pPr>
      <w:spacing w:before="370" w:line="400" w:lineRule="exact"/>
    </w:pPr>
    <w:rPr>
      <w:rFonts w:ascii="Times New Roman"/>
      <w:sz w:val="28"/>
      <w:szCs w:val="28"/>
    </w:rPr>
  </w:style>
  <w:style w:type="paragraph" w:customStyle="1" w:styleId="12">
    <w:name w:val="封面一致性程度标识"/>
    <w:basedOn w:val="11"/>
    <w:qFormat/>
    <w:uiPriority w:val="0"/>
    <w:pPr>
      <w:spacing w:before="440"/>
    </w:pPr>
    <w:rPr>
      <w:rFonts w:ascii="宋体" w:eastAsia="宋体"/>
    </w:rPr>
  </w:style>
  <w:style w:type="paragraph" w:customStyle="1" w:styleId="13">
    <w:name w:val="封面标准文稿类别"/>
    <w:basedOn w:val="12"/>
    <w:qFormat/>
    <w:uiPriority w:val="0"/>
    <w:pPr>
      <w:spacing w:after="160" w:line="240" w:lineRule="auto"/>
    </w:pPr>
    <w:rPr>
      <w:sz w:val="24"/>
    </w:rPr>
  </w:style>
  <w:style w:type="paragraph" w:customStyle="1" w:styleId="14">
    <w:name w:val="封面标准文稿编辑信息"/>
    <w:basedOn w:val="13"/>
    <w:qFormat/>
    <w:uiPriority w:val="0"/>
    <w:pPr>
      <w:spacing w:before="180" w:line="180" w:lineRule="exact"/>
    </w:pPr>
    <w:rPr>
      <w:sz w:val="21"/>
    </w:rPr>
  </w:style>
  <w:style w:type="paragraph" w:customStyle="1" w:styleId="15">
    <w:name w:val="其他发布日期"/>
    <w:basedOn w:val="16"/>
    <w:qFormat/>
    <w:uiPriority w:val="0"/>
    <w:pPr>
      <w:framePr w:vAnchor="page" w:hAnchor="page" w:x="1419"/>
    </w:pPr>
  </w:style>
  <w:style w:type="paragraph" w:customStyle="1" w:styleId="16">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17">
    <w:name w:val="其他实施日期"/>
    <w:basedOn w:val="18"/>
    <w:qFormat/>
    <w:uiPriority w:val="0"/>
  </w:style>
  <w:style w:type="paragraph" w:customStyle="1" w:styleId="18">
    <w:name w:val="实施日期"/>
    <w:basedOn w:val="16"/>
    <w:qFormat/>
    <w:uiPriority w:val="0"/>
    <w:pPr>
      <w:framePr w:vAnchor="page" w:hAnchor="page"/>
      <w:jc w:val="right"/>
    </w:pPr>
  </w:style>
  <w:style w:type="paragraph" w:customStyle="1" w:styleId="19">
    <w:name w:val="其他发布部门"/>
    <w:basedOn w:val="20"/>
    <w:qFormat/>
    <w:uiPriority w:val="0"/>
    <w:pPr>
      <w:framePr w:y="15310"/>
      <w:spacing w:line="0" w:lineRule="atLeast"/>
    </w:pPr>
    <w:rPr>
      <w:rFonts w:ascii="黑体" w:eastAsia="黑体"/>
      <w:b w:val="0"/>
    </w:rPr>
  </w:style>
  <w:style w:type="paragraph" w:customStyle="1" w:styleId="20">
    <w:name w:val="发布部门"/>
    <w:next w:val="21"/>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21">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22">
    <w:name w:val="发布"/>
    <w:basedOn w:val="3"/>
    <w:qFormat/>
    <w:uiPriority w:val="0"/>
    <w:rPr>
      <w:rFonts w:ascii="黑体" w:eastAsia="黑体"/>
      <w:spacing w:val="85"/>
      <w:w w:val="100"/>
      <w:position w:val="3"/>
      <w:sz w:val="28"/>
      <w:szCs w:val="28"/>
    </w:rPr>
  </w:style>
  <w:style w:type="paragraph" w:customStyle="1" w:styleId="23">
    <w:name w:val="前言、引言标题"/>
    <w:next w:val="21"/>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24">
    <w:name w:val="目次、标准名称标题"/>
    <w:basedOn w:val="1"/>
    <w:next w:val="21"/>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25">
    <w:name w:val="章标题"/>
    <w:next w:val="21"/>
    <w:qFormat/>
    <w:uiPriority w:val="0"/>
    <w:pPr>
      <w:numPr>
        <w:ilvl w:val="0"/>
        <w:numId w:val="1"/>
      </w:numPr>
      <w:spacing w:before="312" w:beforeLines="100" w:after="312" w:afterLines="100"/>
      <w:jc w:val="both"/>
      <w:outlineLvl w:val="1"/>
    </w:pPr>
    <w:rPr>
      <w:rFonts w:ascii="黑体" w:hAnsi="Times New Roman" w:eastAsia="黑体" w:cs="Times New Roman"/>
      <w:sz w:val="21"/>
      <w:lang w:val="en-US" w:eastAsia="zh-CN" w:bidi="ar-SA"/>
    </w:rPr>
  </w:style>
  <w:style w:type="paragraph" w:customStyle="1" w:styleId="26">
    <w:name w:val="一级条标题"/>
    <w:next w:val="21"/>
    <w:qFormat/>
    <w:uiPriority w:val="0"/>
    <w:pPr>
      <w:numPr>
        <w:ilvl w:val="1"/>
        <w:numId w:val="1"/>
      </w:numPr>
      <w:spacing w:before="156" w:beforeLines="50" w:after="156" w:afterLines="50"/>
      <w:outlineLvl w:val="2"/>
    </w:pPr>
    <w:rPr>
      <w:rFonts w:ascii="黑体" w:hAnsi="Times New Roman" w:eastAsia="黑体" w:cs="Times New Roman"/>
      <w:sz w:val="21"/>
      <w:szCs w:val="21"/>
      <w:lang w:val="en-US" w:eastAsia="zh-CN" w:bidi="ar-SA"/>
    </w:rPr>
  </w:style>
  <w:style w:type="paragraph" w:customStyle="1" w:styleId="27">
    <w:name w:val="列项——（一级）"/>
    <w:qFormat/>
    <w:uiPriority w:val="0"/>
    <w:pPr>
      <w:widowControl w:val="0"/>
      <w:numPr>
        <w:ilvl w:val="0"/>
        <w:numId w:val="2"/>
      </w:numPr>
      <w:jc w:val="both"/>
    </w:pPr>
    <w:rPr>
      <w:rFonts w:ascii="宋体" w:hAnsi="Times New Roman" w:eastAsia="宋体" w:cs="Times New Roman"/>
      <w:sz w:val="21"/>
      <w:lang w:val="en-US" w:eastAsia="zh-CN" w:bidi="ar-SA"/>
    </w:rPr>
  </w:style>
  <w:style w:type="paragraph" w:customStyle="1" w:styleId="28">
    <w:name w:val="二级无"/>
    <w:basedOn w:val="29"/>
    <w:qFormat/>
    <w:uiPriority w:val="0"/>
    <w:pPr>
      <w:spacing w:before="0" w:beforeLines="0" w:after="0" w:afterLines="0"/>
      <w:ind w:left="0" w:firstLine="0"/>
    </w:pPr>
    <w:rPr>
      <w:rFonts w:ascii="宋体" w:eastAsia="宋体"/>
    </w:rPr>
  </w:style>
  <w:style w:type="paragraph" w:customStyle="1" w:styleId="29">
    <w:name w:val="二级条标题"/>
    <w:basedOn w:val="26"/>
    <w:next w:val="21"/>
    <w:qFormat/>
    <w:uiPriority w:val="0"/>
    <w:pPr>
      <w:numPr>
        <w:ilvl w:val="2"/>
        <w:numId w:val="1"/>
      </w:numPr>
      <w:spacing w:before="50" w:after="50"/>
      <w:outlineLvl w:val="3"/>
    </w:pPr>
  </w:style>
  <w:style w:type="paragraph" w:customStyle="1" w:styleId="30">
    <w:name w:val="附录图标号"/>
    <w:basedOn w:val="1"/>
    <w:qFormat/>
    <w:uiPriority w:val="0"/>
    <w:pPr>
      <w:keepNext/>
      <w:pageBreakBefore/>
      <w:widowControl/>
      <w:numPr>
        <w:ilvl w:val="0"/>
        <w:numId w:val="3"/>
      </w:numPr>
      <w:spacing w:line="14" w:lineRule="exact"/>
      <w:ind w:left="0" w:firstLine="363"/>
      <w:jc w:val="center"/>
      <w:outlineLvl w:val="0"/>
    </w:pPr>
    <w:rPr>
      <w:color w:val="FFFFFF"/>
    </w:rPr>
  </w:style>
  <w:style w:type="paragraph" w:customStyle="1" w:styleId="31">
    <w:name w:val="附录表标号"/>
    <w:basedOn w:val="1"/>
    <w:next w:val="21"/>
    <w:qFormat/>
    <w:uiPriority w:val="0"/>
    <w:pPr>
      <w:numPr>
        <w:ilvl w:val="0"/>
        <w:numId w:val="4"/>
      </w:numPr>
      <w:tabs>
        <w:tab w:val="clear" w:pos="0"/>
      </w:tabs>
      <w:spacing w:line="14" w:lineRule="exact"/>
      <w:ind w:left="811" w:hanging="448"/>
      <w:jc w:val="center"/>
      <w:outlineLvl w:val="0"/>
    </w:pPr>
    <w:rPr>
      <w:color w:val="FFFFFF"/>
    </w:rPr>
  </w:style>
  <w:style w:type="paragraph" w:customStyle="1" w:styleId="32">
    <w:name w:val="附录标识"/>
    <w:basedOn w:val="1"/>
    <w:next w:val="21"/>
    <w:qFormat/>
    <w:uiPriority w:val="0"/>
    <w:pPr>
      <w:keepNext/>
      <w:widowControl/>
      <w:numPr>
        <w:ilvl w:val="0"/>
        <w:numId w:val="5"/>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33">
    <w:name w:val="字母编号列项（一级）"/>
    <w:qFormat/>
    <w:uiPriority w:val="0"/>
    <w:pPr>
      <w:numPr>
        <w:ilvl w:val="0"/>
        <w:numId w:val="6"/>
      </w:numPr>
      <w:jc w:val="both"/>
    </w:pPr>
    <w:rPr>
      <w:rFonts w:ascii="宋体" w:hAnsi="Times New Roman" w:eastAsia="宋体" w:cs="Times New Roman"/>
      <w:sz w:val="21"/>
      <w:lang w:val="en-US" w:eastAsia="zh-CN" w:bidi="ar-SA"/>
    </w:rPr>
  </w:style>
  <w:style w:type="paragraph" w:customStyle="1" w:styleId="34">
    <w:name w:val="附录章标题"/>
    <w:next w:val="21"/>
    <w:qFormat/>
    <w:uiPriority w:val="0"/>
    <w:pPr>
      <w:numPr>
        <w:ilvl w:val="1"/>
        <w:numId w:val="5"/>
      </w:numPr>
      <w:tabs>
        <w:tab w:val="left" w:pos="360"/>
      </w:tabs>
      <w:wordWrap w:val="0"/>
      <w:overflowPunct w:val="0"/>
      <w:autoSpaceDE w:val="0"/>
      <w:spacing w:before="100" w:beforeLines="100" w:after="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35">
    <w:name w:val="附录一级条标题"/>
    <w:basedOn w:val="34"/>
    <w:next w:val="21"/>
    <w:qFormat/>
    <w:uiPriority w:val="0"/>
    <w:pPr>
      <w:numPr>
        <w:ilvl w:val="2"/>
        <w:numId w:val="5"/>
      </w:numPr>
      <w:autoSpaceDN w:val="0"/>
      <w:spacing w:before="50" w:beforeLines="50" w:after="50" w:afterLines="50"/>
      <w:outlineLvl w:val="2"/>
    </w:pPr>
  </w:style>
  <w:style w:type="paragraph" w:customStyle="1" w:styleId="36">
    <w:name w:val="参考文献"/>
    <w:basedOn w:val="1"/>
    <w:next w:val="21"/>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37">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38">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2.wmf"/><Relationship Id="rId8" Type="http://schemas.openxmlformats.org/officeDocument/2006/relationships/oleObject" Target="embeddings/oleObject2.bin"/><Relationship Id="rId7" Type="http://schemas.openxmlformats.org/officeDocument/2006/relationships/image" Target="media/image1.w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6.wmf"/><Relationship Id="rId16" Type="http://schemas.openxmlformats.org/officeDocument/2006/relationships/oleObject" Target="embeddings/oleObject6.bin"/><Relationship Id="rId15" Type="http://schemas.openxmlformats.org/officeDocument/2006/relationships/image" Target="media/image5.wmf"/><Relationship Id="rId14" Type="http://schemas.openxmlformats.org/officeDocument/2006/relationships/oleObject" Target="embeddings/oleObject5.bin"/><Relationship Id="rId13" Type="http://schemas.openxmlformats.org/officeDocument/2006/relationships/image" Target="media/image4.wmf"/><Relationship Id="rId12" Type="http://schemas.openxmlformats.org/officeDocument/2006/relationships/oleObject" Target="embeddings/oleObject4.bin"/><Relationship Id="rId11" Type="http://schemas.openxmlformats.org/officeDocument/2006/relationships/image" Target="media/image3.wmf"/><Relationship Id="rId10" Type="http://schemas.openxmlformats.org/officeDocument/2006/relationships/oleObject" Target="embeddings/oleObject3.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2020-11-09T06:25:00Z</dcterms:created>
  <dc:creator>NTKO</dc:creator>
  <cp:lastModifiedBy>Administrator</cp:lastModifiedBy>
  <cp:lastPrinted>2020-11-24T01:19:00Z</cp:lastPrinted>
  <dcterms:modified xsi:type="dcterms:W3CDTF">2020-11-26T08:36:23Z</dcterms:modified>
  <dc:title> </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